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42BCB">
      <w:pPr>
        <w:jc w:val="lef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2</w:t>
      </w:r>
    </w:p>
    <w:p w14:paraId="36379406">
      <w:pPr>
        <w:jc w:val="center"/>
        <w:rPr>
          <w:rFonts w:ascii="方正小标宋_GBK" w:hAnsi="黑体" w:eastAsia="方正小标宋_GBK" w:cs="黑体"/>
          <w:b/>
          <w:bCs/>
          <w:sz w:val="52"/>
          <w:szCs w:val="52"/>
          <w:lang w:val="zh-CN"/>
        </w:rPr>
      </w:pPr>
    </w:p>
    <w:p w14:paraId="769F1D45">
      <w:pPr>
        <w:jc w:val="center"/>
        <w:rPr>
          <w:rFonts w:ascii="方正小标宋_GBK" w:hAnsi="黑体" w:eastAsia="方正小标宋_GBK" w:cs="黑体"/>
          <w:b/>
          <w:bCs/>
          <w:sz w:val="52"/>
          <w:szCs w:val="52"/>
          <w:lang w:val="zh-CN"/>
        </w:rPr>
      </w:pPr>
      <w:r>
        <w:rPr>
          <w:rFonts w:hint="eastAsia" w:ascii="方正小标宋_GBK" w:hAnsi="黑体" w:eastAsia="方正小标宋_GBK" w:cs="黑体"/>
          <w:b/>
          <w:bCs/>
          <w:sz w:val="52"/>
          <w:szCs w:val="52"/>
          <w:lang w:val="zh-CN"/>
        </w:rPr>
        <w:t>《电力建设绿色建造</w:t>
      </w:r>
      <w:r>
        <w:rPr>
          <w:rFonts w:hint="eastAsia" w:ascii="方正小标宋_GBK" w:hAnsi="黑体" w:eastAsia="方正小标宋_GBK" w:cs="黑体"/>
          <w:b/>
          <w:bCs/>
          <w:sz w:val="52"/>
          <w:szCs w:val="52"/>
        </w:rPr>
        <w:t>监理导则 第1部分：火力发电工程</w:t>
      </w:r>
      <w:r>
        <w:rPr>
          <w:rFonts w:hint="eastAsia" w:ascii="方正小标宋_GBK" w:hAnsi="黑体" w:eastAsia="方正小标宋_GBK" w:cs="黑体"/>
          <w:b/>
          <w:bCs/>
          <w:sz w:val="52"/>
          <w:szCs w:val="52"/>
          <w:lang w:val="zh-CN"/>
        </w:rPr>
        <w:t>》</w:t>
      </w:r>
      <w:bookmarkStart w:id="18" w:name="_GoBack"/>
      <w:bookmarkEnd w:id="18"/>
    </w:p>
    <w:p w14:paraId="3BD412C8">
      <w:pPr>
        <w:autoSpaceDE w:val="0"/>
        <w:autoSpaceDN w:val="0"/>
        <w:adjustRightInd w:val="0"/>
        <w:spacing w:line="360" w:lineRule="auto"/>
        <w:jc w:val="center"/>
        <w:rPr>
          <w:rFonts w:ascii="方正小标宋_GBK" w:hAnsi="黑体" w:eastAsia="方正小标宋_GBK" w:cs="黑体"/>
          <w:b/>
          <w:bCs/>
          <w:sz w:val="44"/>
          <w:szCs w:val="44"/>
          <w:lang w:val="zh-CN"/>
        </w:rPr>
      </w:pPr>
    </w:p>
    <w:p w14:paraId="4A0FD22E">
      <w:pPr>
        <w:autoSpaceDE w:val="0"/>
        <w:autoSpaceDN w:val="0"/>
        <w:adjustRightInd w:val="0"/>
        <w:spacing w:line="360" w:lineRule="auto"/>
        <w:jc w:val="center"/>
        <w:rPr>
          <w:rFonts w:ascii="方正小标宋_GBK" w:hAnsi="黑体" w:eastAsia="方正小标宋_GBK" w:cs="黑体"/>
          <w:b/>
          <w:bCs/>
          <w:sz w:val="52"/>
          <w:szCs w:val="52"/>
          <w:lang w:val="zh-CN"/>
        </w:rPr>
      </w:pPr>
      <w:r>
        <w:rPr>
          <w:rFonts w:hint="eastAsia" w:ascii="方正小标宋_GBK" w:hAnsi="黑体" w:eastAsia="方正小标宋_GBK" w:cs="黑体"/>
          <w:b/>
          <w:bCs/>
          <w:sz w:val="52"/>
          <w:szCs w:val="52"/>
          <w:lang w:val="zh-CN"/>
        </w:rPr>
        <w:t>编制说明</w:t>
      </w:r>
    </w:p>
    <w:p w14:paraId="31DA64C7">
      <w:pPr>
        <w:rPr>
          <w:lang w:val="zh-CN"/>
        </w:rPr>
      </w:pPr>
    </w:p>
    <w:p w14:paraId="3564F9DD">
      <w:pPr>
        <w:rPr>
          <w:lang w:val="zh-CN"/>
        </w:rPr>
      </w:pPr>
    </w:p>
    <w:p w14:paraId="7EB243CF">
      <w:pPr>
        <w:rPr>
          <w:lang w:val="zh-CN"/>
        </w:rPr>
      </w:pPr>
    </w:p>
    <w:p w14:paraId="781B0875">
      <w:pPr>
        <w:rPr>
          <w:lang w:val="zh-CN"/>
        </w:rPr>
      </w:pPr>
    </w:p>
    <w:p w14:paraId="31FCC32B">
      <w:pPr>
        <w:pStyle w:val="2"/>
        <w:rPr>
          <w:lang w:val="zh-CN"/>
        </w:rPr>
      </w:pPr>
    </w:p>
    <w:p w14:paraId="277251BF">
      <w:pPr>
        <w:pStyle w:val="2"/>
        <w:rPr>
          <w:lang w:val="zh-CN"/>
        </w:rPr>
      </w:pPr>
    </w:p>
    <w:p w14:paraId="6CD965B1">
      <w:pPr>
        <w:pStyle w:val="2"/>
        <w:rPr>
          <w:lang w:val="zh-CN"/>
        </w:rPr>
      </w:pPr>
    </w:p>
    <w:p w14:paraId="242049F6">
      <w:pPr>
        <w:pStyle w:val="2"/>
        <w:rPr>
          <w:lang w:val="zh-CN"/>
        </w:rPr>
      </w:pPr>
    </w:p>
    <w:p w14:paraId="05C0A39F">
      <w:pPr>
        <w:pStyle w:val="2"/>
        <w:rPr>
          <w:lang w:val="zh-CN"/>
        </w:rPr>
      </w:pPr>
    </w:p>
    <w:p w14:paraId="3DFEB031">
      <w:pPr>
        <w:pStyle w:val="2"/>
        <w:rPr>
          <w:lang w:val="zh-CN"/>
        </w:rPr>
      </w:pPr>
    </w:p>
    <w:p w14:paraId="7780CD0A">
      <w:pPr>
        <w:pStyle w:val="2"/>
        <w:rPr>
          <w:lang w:val="zh-CN"/>
        </w:rPr>
      </w:pPr>
    </w:p>
    <w:p w14:paraId="712D24DF">
      <w:pPr>
        <w:pStyle w:val="2"/>
        <w:rPr>
          <w:lang w:val="zh-CN"/>
        </w:rPr>
      </w:pPr>
    </w:p>
    <w:p w14:paraId="683B70EF">
      <w:pPr>
        <w:pStyle w:val="2"/>
        <w:rPr>
          <w:lang w:val="zh-CN"/>
        </w:rPr>
      </w:pPr>
    </w:p>
    <w:p w14:paraId="68877810">
      <w:pPr>
        <w:pStyle w:val="2"/>
        <w:rPr>
          <w:rFonts w:hint="eastAsia"/>
          <w:lang w:val="zh-CN"/>
        </w:rPr>
      </w:pPr>
    </w:p>
    <w:p w14:paraId="2F9E9216">
      <w:pPr>
        <w:rPr>
          <w:lang w:val="zh-CN"/>
        </w:rPr>
      </w:pPr>
    </w:p>
    <w:p w14:paraId="33BB3951">
      <w:pPr>
        <w:rPr>
          <w:lang w:val="zh-CN"/>
        </w:rPr>
      </w:pPr>
    </w:p>
    <w:p w14:paraId="45AE79A9">
      <w:pPr>
        <w:rPr>
          <w:lang w:val="zh-CN"/>
        </w:rPr>
      </w:pPr>
    </w:p>
    <w:p w14:paraId="203C37B4">
      <w:pPr>
        <w:rPr>
          <w:lang w:val="zh-CN"/>
        </w:rPr>
      </w:pPr>
    </w:p>
    <w:p w14:paraId="61F89F76">
      <w:pPr>
        <w:rPr>
          <w:lang w:val="zh-CN"/>
        </w:rPr>
      </w:pPr>
    </w:p>
    <w:p w14:paraId="5C896436">
      <w:pPr>
        <w:rPr>
          <w:sz w:val="22"/>
          <w:szCs w:val="24"/>
          <w:lang w:val="zh-CN"/>
        </w:rPr>
      </w:pPr>
    </w:p>
    <w:p w14:paraId="38560AAF">
      <w:pPr>
        <w:pStyle w:val="9"/>
        <w:spacing w:before="0" w:beforeAutospacing="0" w:after="0" w:afterAutospacing="0"/>
        <w:jc w:val="center"/>
        <w:textAlignment w:val="baseline"/>
        <w:rPr>
          <w:rFonts w:ascii="方正黑体_GBK" w:hAnsi="Times New Roman" w:eastAsia="方正黑体_GBK" w:cs="Times New Roman"/>
          <w:sz w:val="36"/>
          <w:szCs w:val="36"/>
          <w:lang w:val="zh-CN"/>
        </w:rPr>
      </w:pPr>
    </w:p>
    <w:p w14:paraId="1A385006">
      <w:pPr>
        <w:pStyle w:val="9"/>
        <w:spacing w:before="0" w:beforeAutospacing="0" w:after="0" w:afterAutospacing="0"/>
        <w:jc w:val="center"/>
        <w:textAlignment w:val="baseline"/>
        <w:rPr>
          <w:rFonts w:ascii="方正黑体_GBK" w:hAnsi="Times New Roman" w:eastAsia="方正黑体_GBK" w:cs="Times New Roman"/>
          <w:sz w:val="36"/>
          <w:szCs w:val="36"/>
          <w:lang w:val="zh-CN"/>
        </w:rPr>
      </w:pPr>
      <w:r>
        <w:rPr>
          <w:rFonts w:hint="eastAsia" w:ascii="方正黑体_GBK" w:hAnsi="Times New Roman" w:eastAsia="方正黑体_GBK" w:cs="Times New Roman"/>
          <w:sz w:val="36"/>
          <w:szCs w:val="36"/>
          <w:lang w:val="zh-CN"/>
        </w:rPr>
        <w:t>20</w:t>
      </w:r>
      <w:r>
        <w:rPr>
          <w:rFonts w:hint="eastAsia" w:ascii="方正黑体_GBK" w:hAnsi="Times New Roman" w:eastAsia="方正黑体_GBK" w:cs="Times New Roman"/>
          <w:sz w:val="36"/>
          <w:szCs w:val="36"/>
        </w:rPr>
        <w:t>2</w:t>
      </w:r>
      <w:r>
        <w:rPr>
          <w:rFonts w:ascii="方正黑体_GBK" w:hAnsi="Times New Roman" w:eastAsia="方正黑体_GBK" w:cs="Times New Roman"/>
          <w:sz w:val="36"/>
          <w:szCs w:val="36"/>
        </w:rPr>
        <w:t>6</w:t>
      </w:r>
      <w:r>
        <w:rPr>
          <w:rFonts w:hint="eastAsia" w:ascii="方正黑体_GBK" w:hAnsi="Times New Roman" w:eastAsia="方正黑体_GBK"/>
          <w:sz w:val="36"/>
          <w:szCs w:val="36"/>
          <w:lang w:val="zh-CN"/>
        </w:rPr>
        <w:t>年</w:t>
      </w:r>
      <w:r>
        <w:rPr>
          <w:rFonts w:ascii="方正黑体_GBK" w:hAnsi="Times New Roman" w:eastAsia="方正黑体_GBK" w:cs="Times New Roman"/>
          <w:sz w:val="36"/>
          <w:szCs w:val="36"/>
        </w:rPr>
        <w:t>3</w:t>
      </w:r>
      <w:r>
        <w:rPr>
          <w:rFonts w:hint="eastAsia" w:ascii="方正黑体_GBK" w:hAnsi="Times New Roman" w:eastAsia="方正黑体_GBK"/>
          <w:sz w:val="36"/>
          <w:szCs w:val="36"/>
          <w:lang w:val="zh-CN"/>
        </w:rPr>
        <w:t>月</w:t>
      </w:r>
    </w:p>
    <w:p w14:paraId="027F66C6">
      <w:pPr>
        <w:pStyle w:val="4"/>
        <w:rPr>
          <w:lang w:val="zh-CN"/>
        </w:rPr>
        <w:sectPr>
          <w:footerReference r:id="rId3" w:type="default"/>
          <w:pgSz w:w="11906" w:h="16838"/>
          <w:pgMar w:top="1440" w:right="1800" w:bottom="1440" w:left="1800" w:header="851" w:footer="992" w:gutter="0"/>
          <w:cols w:space="425" w:num="1"/>
          <w:docGrid w:type="lines" w:linePitch="312" w:charSpace="0"/>
        </w:sectPr>
      </w:pPr>
    </w:p>
    <w:sdt>
      <w:sdtPr>
        <w:rPr>
          <w:rFonts w:ascii="Calibri" w:hAnsi="Calibri" w:eastAsia="宋体" w:cs="Times New Roman"/>
          <w:color w:val="auto"/>
          <w:kern w:val="2"/>
          <w:sz w:val="21"/>
          <w:szCs w:val="22"/>
          <w:lang w:val="zh-CN"/>
        </w:rPr>
        <w:id w:val="-1962715068"/>
        <w:docPartObj>
          <w:docPartGallery w:val="Table of Contents"/>
          <w:docPartUnique/>
        </w:docPartObj>
      </w:sdtPr>
      <w:sdtEndPr>
        <w:rPr>
          <w:rFonts w:ascii="Calibri" w:hAnsi="Calibri" w:eastAsia="宋体" w:cs="Times New Roman"/>
          <w:b/>
          <w:bCs/>
          <w:color w:val="auto"/>
          <w:kern w:val="2"/>
          <w:sz w:val="21"/>
          <w:szCs w:val="22"/>
          <w:lang w:val="zh-CN"/>
        </w:rPr>
      </w:sdtEndPr>
      <w:sdtContent>
        <w:p w14:paraId="5D0E6CE3">
          <w:pPr>
            <w:pStyle w:val="13"/>
            <w:jc w:val="center"/>
            <w:rPr>
              <w:rFonts w:ascii="方正小标宋_GBK" w:eastAsia="方正小标宋_GBK"/>
              <w:color w:val="000000" w:themeColor="text1"/>
              <w14:textFill>
                <w14:solidFill>
                  <w14:schemeClr w14:val="tx1"/>
                </w14:solidFill>
              </w14:textFill>
            </w:rPr>
          </w:pPr>
          <w:r>
            <w:rPr>
              <w:rFonts w:hint="eastAsia" w:ascii="方正小标宋_GBK" w:eastAsia="方正小标宋_GBK"/>
              <w:color w:val="000000" w:themeColor="text1"/>
              <w:lang w:val="zh-CN"/>
              <w14:textFill>
                <w14:solidFill>
                  <w14:schemeClr w14:val="tx1"/>
                </w14:solidFill>
              </w14:textFill>
            </w:rPr>
            <w:t>目录</w:t>
          </w:r>
        </w:p>
        <w:p w14:paraId="435C392D">
          <w:pPr>
            <w:pStyle w:val="7"/>
            <w:tabs>
              <w:tab w:val="left" w:pos="420"/>
            </w:tabs>
            <w:rPr>
              <w:rFonts w:ascii="方正仿宋_GBK" w:eastAsia="方正仿宋_GBK" w:hAnsiTheme="minorHAnsi" w:cstheme="minorBidi"/>
              <w:sz w:val="22"/>
              <w14:ligatures w14:val="standardContextual"/>
            </w:rPr>
          </w:pPr>
          <w:r>
            <w:rPr>
              <w:rFonts w:hint="eastAsia" w:ascii="方正仿宋_GBK" w:eastAsia="方正仿宋_GBK"/>
              <w:sz w:val="32"/>
              <w:szCs w:val="40"/>
            </w:rPr>
            <w:fldChar w:fldCharType="begin"/>
          </w:r>
          <w:r>
            <w:rPr>
              <w:rFonts w:hint="eastAsia" w:ascii="方正仿宋_GBK" w:eastAsia="方正仿宋_GBK"/>
              <w:sz w:val="32"/>
              <w:szCs w:val="40"/>
            </w:rPr>
            <w:instrText xml:space="preserve"> TOC \o "1-3" \h \z \u </w:instrText>
          </w:r>
          <w:r>
            <w:rPr>
              <w:rFonts w:hint="eastAsia" w:ascii="方正仿宋_GBK" w:eastAsia="方正仿宋_GBK"/>
              <w:sz w:val="32"/>
              <w:szCs w:val="40"/>
            </w:rPr>
            <w:fldChar w:fldCharType="separate"/>
          </w:r>
          <w:r>
            <w:fldChar w:fldCharType="begin"/>
          </w:r>
          <w:r>
            <w:instrText xml:space="preserve"> HYPERLINK \l "_Toc179902666" </w:instrText>
          </w:r>
          <w:r>
            <w:fldChar w:fldCharType="separate"/>
          </w:r>
          <w:r>
            <w:rPr>
              <w:rStyle w:val="12"/>
              <w:rFonts w:hint="eastAsia" w:ascii="方正仿宋_GBK" w:hAnsi="黑体" w:eastAsia="方正仿宋_GBK"/>
              <w:sz w:val="22"/>
              <w:szCs w:val="28"/>
            </w:rPr>
            <w:t>1</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工作简况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_Toc179902666 \h </w:instrText>
          </w:r>
          <w:r>
            <w:rPr>
              <w:rFonts w:hint="eastAsia" w:ascii="方正仿宋_GBK" w:eastAsia="方正仿宋_GBK"/>
              <w:sz w:val="22"/>
              <w:szCs w:val="28"/>
            </w:rPr>
            <w:fldChar w:fldCharType="separate"/>
          </w:r>
          <w:r>
            <w:rPr>
              <w:rFonts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0C6B8094">
          <w:pPr>
            <w:pStyle w:val="8"/>
            <w:tabs>
              <w:tab w:val="left" w:pos="1050"/>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"_Toc179902667" </w:instrText>
          </w:r>
          <w:r>
            <w:fldChar w:fldCharType="separate"/>
          </w:r>
          <w:r>
            <w:rPr>
              <w:rStyle w:val="12"/>
              <w:rFonts w:hint="eastAsia" w:ascii="方正仿宋_GBK" w:hAnsi="楷体_GB2312" w:eastAsia="方正仿宋_GBK" w:cs="宋体"/>
              <w:sz w:val="22"/>
              <w:szCs w:val="28"/>
            </w:rPr>
            <w:t>1.1</w:t>
          </w:r>
          <w:r>
            <w:rPr>
              <w:rFonts w:hint="eastAsia" w:ascii="方正仿宋_GBK" w:eastAsia="方正仿宋_GBK" w:hAnsiTheme="minorHAnsi" w:cstheme="minorBidi"/>
              <w:sz w:val="22"/>
              <w14:ligatures w14:val="standardContextual"/>
            </w:rPr>
            <w:tab/>
          </w:r>
          <w:r>
            <w:rPr>
              <w:rStyle w:val="12"/>
              <w:rFonts w:hint="eastAsia" w:ascii="方正仿宋_GBK" w:hAnsi="楷体_GB2312" w:eastAsia="方正仿宋_GBK" w:cs="宋体"/>
              <w:sz w:val="22"/>
              <w:szCs w:val="28"/>
            </w:rPr>
            <w:t>任务来源</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_Toc179902667 \h </w:instrText>
          </w:r>
          <w:r>
            <w:rPr>
              <w:rFonts w:hint="eastAsia" w:ascii="方正仿宋_GBK" w:eastAsia="方正仿宋_GBK"/>
              <w:sz w:val="22"/>
              <w:szCs w:val="28"/>
            </w:rPr>
            <w:fldChar w:fldCharType="separate"/>
          </w:r>
          <w:r>
            <w:rPr>
              <w:rFonts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22FEB68">
          <w:pPr>
            <w:pStyle w:val="8"/>
            <w:tabs>
              <w:tab w:val="left" w:pos="1050"/>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"_Toc179902668" </w:instrText>
          </w:r>
          <w:r>
            <w:fldChar w:fldCharType="separate"/>
          </w:r>
          <w:r>
            <w:rPr>
              <w:rStyle w:val="12"/>
              <w:rFonts w:hint="eastAsia" w:ascii="方正仿宋_GBK" w:hAnsi="楷体_GB2312" w:eastAsia="方正仿宋_GBK" w:cs="宋体"/>
              <w:sz w:val="22"/>
              <w:szCs w:val="28"/>
            </w:rPr>
            <w:t>1.2</w:t>
          </w:r>
          <w:r>
            <w:rPr>
              <w:rFonts w:hint="eastAsia" w:ascii="方正仿宋_GBK" w:eastAsia="方正仿宋_GBK" w:hAnsiTheme="minorHAnsi" w:cstheme="minorBidi"/>
              <w:sz w:val="22"/>
              <w14:ligatures w14:val="standardContextual"/>
            </w:rPr>
            <w:tab/>
          </w:r>
          <w:r>
            <w:rPr>
              <w:rStyle w:val="12"/>
              <w:rFonts w:hint="eastAsia" w:ascii="方正仿宋_GBK" w:hAnsi="楷体_GB2312" w:eastAsia="方正仿宋_GBK" w:cs="宋体"/>
              <w:sz w:val="22"/>
              <w:szCs w:val="28"/>
            </w:rPr>
            <w:t>编制必要性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_Toc179902668 \h </w:instrText>
          </w:r>
          <w:r>
            <w:rPr>
              <w:rFonts w:hint="eastAsia" w:ascii="方正仿宋_GBK" w:eastAsia="方正仿宋_GBK"/>
              <w:sz w:val="22"/>
              <w:szCs w:val="28"/>
            </w:rPr>
            <w:fldChar w:fldCharType="separate"/>
          </w:r>
          <w:r>
            <w:rPr>
              <w:rFonts w:ascii="方正仿宋_GBK" w:eastAsia="方正仿宋_GBK"/>
              <w:sz w:val="22"/>
              <w:szCs w:val="28"/>
            </w:rPr>
            <w:t>1</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A51C562">
          <w:pPr>
            <w:pStyle w:val="8"/>
            <w:tabs>
              <w:tab w:val="left" w:pos="1050"/>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"_Toc179902669" </w:instrText>
          </w:r>
          <w:r>
            <w:fldChar w:fldCharType="separate"/>
          </w:r>
          <w:r>
            <w:rPr>
              <w:rStyle w:val="12"/>
              <w:rFonts w:hint="eastAsia" w:ascii="方正仿宋_GBK" w:hAnsi="楷体_GB2312" w:eastAsia="方正仿宋_GBK" w:cs="宋体"/>
              <w:sz w:val="22"/>
              <w:szCs w:val="28"/>
            </w:rPr>
            <w:t>1.3</w:t>
          </w:r>
          <w:r>
            <w:rPr>
              <w:rFonts w:hint="eastAsia" w:ascii="方正仿宋_GBK" w:eastAsia="方正仿宋_GBK" w:hAnsiTheme="minorHAnsi" w:cstheme="minorBidi"/>
              <w:sz w:val="22"/>
              <w14:ligatures w14:val="standardContextual"/>
            </w:rPr>
            <w:tab/>
          </w:r>
          <w:r>
            <w:rPr>
              <w:rStyle w:val="12"/>
              <w:rFonts w:hint="eastAsia" w:ascii="方正仿宋_GBK" w:hAnsi="楷体_GB2312" w:eastAsia="方正仿宋_GBK" w:cs="宋体"/>
              <w:sz w:val="22"/>
              <w:szCs w:val="28"/>
            </w:rPr>
            <w:t>编制单位</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_Toc179902669 \h </w:instrText>
          </w:r>
          <w:r>
            <w:rPr>
              <w:rFonts w:hint="eastAsia" w:ascii="方正仿宋_GBK" w:eastAsia="方正仿宋_GBK"/>
              <w:sz w:val="22"/>
              <w:szCs w:val="28"/>
            </w:rPr>
            <w:fldChar w:fldCharType="separate"/>
          </w:r>
          <w:r>
            <w:rPr>
              <w:rFonts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2A17D3F">
          <w:pPr>
            <w:pStyle w:val="8"/>
            <w:tabs>
              <w:tab w:val="left" w:pos="1050"/>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"_Toc179902670" </w:instrText>
          </w:r>
          <w:r>
            <w:fldChar w:fldCharType="separate"/>
          </w:r>
          <w:r>
            <w:rPr>
              <w:rStyle w:val="12"/>
              <w:rFonts w:hint="eastAsia" w:ascii="方正仿宋_GBK" w:hAnsi="楷体_GB2312" w:eastAsia="方正仿宋_GBK" w:cs="宋体"/>
              <w:sz w:val="22"/>
              <w:szCs w:val="28"/>
            </w:rPr>
            <w:t>1.4</w:t>
          </w:r>
          <w:r>
            <w:rPr>
              <w:rFonts w:hint="eastAsia" w:ascii="方正仿宋_GBK" w:eastAsia="方正仿宋_GBK" w:hAnsiTheme="minorHAnsi" w:cstheme="minorBidi"/>
              <w:sz w:val="22"/>
              <w14:ligatures w14:val="standardContextual"/>
            </w:rPr>
            <w:tab/>
          </w:r>
          <w:r>
            <w:rPr>
              <w:rStyle w:val="12"/>
              <w:rFonts w:hint="eastAsia" w:ascii="方正仿宋_GBK" w:hAnsi="楷体_GB2312" w:eastAsia="方正仿宋_GBK" w:cs="宋体"/>
              <w:sz w:val="22"/>
              <w:szCs w:val="28"/>
            </w:rPr>
            <w:t>主要工作过程</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_Toc179902670 \h </w:instrText>
          </w:r>
          <w:r>
            <w:rPr>
              <w:rFonts w:hint="eastAsia" w:ascii="方正仿宋_GBK" w:eastAsia="方正仿宋_GBK"/>
              <w:sz w:val="22"/>
              <w:szCs w:val="28"/>
            </w:rPr>
            <w:fldChar w:fldCharType="separate"/>
          </w:r>
          <w:r>
            <w:rPr>
              <w:rFonts w:ascii="方正仿宋_GBK" w:eastAsia="方正仿宋_GBK"/>
              <w:sz w:val="22"/>
              <w:szCs w:val="28"/>
            </w:rPr>
            <w:t>2</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AB9160C">
          <w:pPr>
            <w:pStyle w:val="8"/>
            <w:tabs>
              <w:tab w:val="left" w:pos="1050"/>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"_Toc179902671" </w:instrText>
          </w:r>
          <w:r>
            <w:fldChar w:fldCharType="separate"/>
          </w:r>
          <w:r>
            <w:rPr>
              <w:rStyle w:val="12"/>
              <w:rFonts w:hint="eastAsia" w:ascii="方正仿宋_GBK" w:hAnsi="楷体_GB2312" w:eastAsia="方正仿宋_GBK" w:cs="宋体"/>
              <w:sz w:val="22"/>
              <w:szCs w:val="28"/>
            </w:rPr>
            <w:t>1.5</w:t>
          </w:r>
          <w:r>
            <w:rPr>
              <w:rFonts w:hint="eastAsia" w:ascii="方正仿宋_GBK" w:eastAsia="方正仿宋_GBK" w:hAnsiTheme="minorHAnsi" w:cstheme="minorBidi"/>
              <w:sz w:val="22"/>
              <w14:ligatures w14:val="standardContextual"/>
            </w:rPr>
            <w:tab/>
          </w:r>
          <w:r>
            <w:rPr>
              <w:rStyle w:val="12"/>
              <w:rFonts w:hint="eastAsia" w:ascii="方正仿宋_GBK" w:hAnsi="楷体_GB2312" w:eastAsia="方正仿宋_GBK" w:cs="宋体"/>
              <w:sz w:val="22"/>
              <w:szCs w:val="28"/>
            </w:rPr>
            <w:t>主要起草人</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_Toc179902671 \h </w:instrText>
          </w:r>
          <w:r>
            <w:rPr>
              <w:rFonts w:hint="eastAsia" w:ascii="方正仿宋_GBK" w:eastAsia="方正仿宋_GBK"/>
              <w:sz w:val="22"/>
              <w:szCs w:val="28"/>
            </w:rPr>
            <w:fldChar w:fldCharType="separate"/>
          </w:r>
          <w:r>
            <w:rPr>
              <w:rFonts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42DC3A44">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"_Toc179902672" </w:instrText>
          </w:r>
          <w:r>
            <w:fldChar w:fldCharType="separate"/>
          </w:r>
          <w:r>
            <w:rPr>
              <w:rStyle w:val="12"/>
              <w:rFonts w:hint="eastAsia" w:ascii="方正仿宋_GBK" w:hAnsi="黑体" w:eastAsia="方正仿宋_GBK"/>
              <w:sz w:val="22"/>
              <w:szCs w:val="28"/>
            </w:rPr>
            <w:t>2</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编制原则和主要内容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_Toc179902672 \h </w:instrText>
          </w:r>
          <w:r>
            <w:rPr>
              <w:rFonts w:hint="eastAsia" w:ascii="方正仿宋_GBK" w:eastAsia="方正仿宋_GBK"/>
              <w:sz w:val="22"/>
              <w:szCs w:val="28"/>
            </w:rPr>
            <w:fldChar w:fldCharType="separate"/>
          </w:r>
          <w:r>
            <w:rPr>
              <w:rFonts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2F7F3E89">
          <w:pPr>
            <w:pStyle w:val="8"/>
            <w:tabs>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"_Toc179902673" </w:instrText>
          </w:r>
          <w:r>
            <w:fldChar w:fldCharType="separate"/>
          </w:r>
          <w:r>
            <w:rPr>
              <w:rStyle w:val="12"/>
              <w:rFonts w:hint="eastAsia" w:ascii="方正仿宋_GBK" w:hAnsi="楷体_GB2312" w:eastAsia="方正仿宋_GBK" w:cs="宋体"/>
              <w:sz w:val="22"/>
              <w:szCs w:val="28"/>
            </w:rPr>
            <w:t>2.1 编制原则</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_Toc179902673 \h </w:instrText>
          </w:r>
          <w:r>
            <w:rPr>
              <w:rFonts w:hint="eastAsia" w:ascii="方正仿宋_GBK" w:eastAsia="方正仿宋_GBK"/>
              <w:sz w:val="22"/>
              <w:szCs w:val="28"/>
            </w:rPr>
            <w:fldChar w:fldCharType="separate"/>
          </w:r>
          <w:r>
            <w:rPr>
              <w:rFonts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1F449F1B">
          <w:pPr>
            <w:pStyle w:val="8"/>
            <w:tabs>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"_Toc179902674" </w:instrText>
          </w:r>
          <w:r>
            <w:fldChar w:fldCharType="separate"/>
          </w:r>
          <w:r>
            <w:rPr>
              <w:rStyle w:val="12"/>
              <w:rFonts w:hint="eastAsia" w:ascii="方正仿宋_GBK" w:hAnsi="楷体_GB2312" w:eastAsia="方正仿宋_GBK" w:cs="宋体"/>
              <w:sz w:val="22"/>
              <w:szCs w:val="28"/>
            </w:rPr>
            <w:t>2.2 编制依据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_Toc179902674 \h </w:instrText>
          </w:r>
          <w:r>
            <w:rPr>
              <w:rFonts w:hint="eastAsia" w:ascii="方正仿宋_GBK" w:eastAsia="方正仿宋_GBK"/>
              <w:sz w:val="22"/>
              <w:szCs w:val="28"/>
            </w:rPr>
            <w:fldChar w:fldCharType="separate"/>
          </w:r>
          <w:r>
            <w:rPr>
              <w:rFonts w:ascii="方正仿宋_GBK" w:eastAsia="方正仿宋_GBK"/>
              <w:sz w:val="22"/>
              <w:szCs w:val="28"/>
            </w:rPr>
            <w:t>3</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A18254E">
          <w:pPr>
            <w:pStyle w:val="8"/>
            <w:tabs>
              <w:tab w:val="right" w:leader="dot" w:pos="8296"/>
            </w:tabs>
            <w:rPr>
              <w:rFonts w:ascii="方正仿宋_GBK" w:eastAsia="方正仿宋_GBK" w:hAnsiTheme="minorHAnsi" w:cstheme="minorBidi"/>
              <w:sz w:val="22"/>
              <w14:ligatures w14:val="standardContextual"/>
            </w:rPr>
          </w:pPr>
          <w:r>
            <w:fldChar w:fldCharType="begin"/>
          </w:r>
          <w:r>
            <w:instrText xml:space="preserve"> HYPERLINK \l "_Toc179902675" </w:instrText>
          </w:r>
          <w:r>
            <w:fldChar w:fldCharType="separate"/>
          </w:r>
          <w:r>
            <w:rPr>
              <w:rStyle w:val="12"/>
              <w:rFonts w:hint="eastAsia" w:ascii="方正仿宋_GBK" w:hAnsi="楷体_GB2312" w:eastAsia="方正仿宋_GBK" w:cs="宋体"/>
              <w:sz w:val="22"/>
              <w:szCs w:val="28"/>
            </w:rPr>
            <w:t>2.3 主要内容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_Toc179902675 \h </w:instrText>
          </w:r>
          <w:r>
            <w:rPr>
              <w:rFonts w:hint="eastAsia" w:ascii="方正仿宋_GBK" w:eastAsia="方正仿宋_GBK"/>
              <w:sz w:val="22"/>
              <w:szCs w:val="28"/>
            </w:rPr>
            <w:fldChar w:fldCharType="separate"/>
          </w:r>
          <w:r>
            <w:rPr>
              <w:rFonts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1CA8623">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"_Toc179902676" </w:instrText>
          </w:r>
          <w:r>
            <w:fldChar w:fldCharType="separate"/>
          </w:r>
          <w:r>
            <w:rPr>
              <w:rStyle w:val="12"/>
              <w:rFonts w:hint="eastAsia" w:ascii="方正仿宋_GBK" w:hAnsi="黑体" w:eastAsia="方正仿宋_GBK"/>
              <w:sz w:val="22"/>
              <w:szCs w:val="28"/>
            </w:rPr>
            <w:t>3</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预期达到的效果</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_Toc179902676 \h </w:instrText>
          </w:r>
          <w:r>
            <w:rPr>
              <w:rFonts w:hint="eastAsia" w:ascii="方正仿宋_GBK" w:eastAsia="方正仿宋_GBK"/>
              <w:sz w:val="22"/>
              <w:szCs w:val="28"/>
            </w:rPr>
            <w:fldChar w:fldCharType="separate"/>
          </w:r>
          <w:r>
            <w:rPr>
              <w:rFonts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3D414B96">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"_Toc179902677" </w:instrText>
          </w:r>
          <w:r>
            <w:fldChar w:fldCharType="separate"/>
          </w:r>
          <w:r>
            <w:rPr>
              <w:rStyle w:val="12"/>
              <w:rFonts w:hint="eastAsia" w:ascii="方正仿宋_GBK" w:hAnsi="黑体" w:eastAsia="方正仿宋_GBK"/>
              <w:sz w:val="22"/>
              <w:szCs w:val="28"/>
            </w:rPr>
            <w:t>4</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与同类标准对比情况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_Toc179902677 \h </w:instrText>
          </w:r>
          <w:r>
            <w:rPr>
              <w:rFonts w:hint="eastAsia" w:ascii="方正仿宋_GBK" w:eastAsia="方正仿宋_GBK"/>
              <w:sz w:val="22"/>
              <w:szCs w:val="28"/>
            </w:rPr>
            <w:fldChar w:fldCharType="separate"/>
          </w:r>
          <w:r>
            <w:rPr>
              <w:rFonts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1F3B6361">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"_Toc179902678" </w:instrText>
          </w:r>
          <w:r>
            <w:fldChar w:fldCharType="separate"/>
          </w:r>
          <w:r>
            <w:rPr>
              <w:rStyle w:val="12"/>
              <w:rFonts w:hint="eastAsia" w:ascii="方正仿宋_GBK" w:hAnsi="黑体" w:eastAsia="方正仿宋_GBK"/>
              <w:sz w:val="22"/>
              <w:szCs w:val="28"/>
            </w:rPr>
            <w:t>5</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与现行法律、法规、政策及相关标准的协调性</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_Toc179902678 \h </w:instrText>
          </w:r>
          <w:r>
            <w:rPr>
              <w:rFonts w:hint="eastAsia" w:ascii="方正仿宋_GBK" w:eastAsia="方正仿宋_GBK"/>
              <w:sz w:val="22"/>
              <w:szCs w:val="28"/>
            </w:rPr>
            <w:fldChar w:fldCharType="separate"/>
          </w:r>
          <w:r>
            <w:rPr>
              <w:rFonts w:ascii="方正仿宋_GBK" w:eastAsia="方正仿宋_GBK"/>
              <w:sz w:val="22"/>
              <w:szCs w:val="28"/>
            </w:rPr>
            <w:t>4</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0969AD4">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"_Toc179902679" </w:instrText>
          </w:r>
          <w:r>
            <w:fldChar w:fldCharType="separate"/>
          </w:r>
          <w:r>
            <w:rPr>
              <w:rStyle w:val="12"/>
              <w:rFonts w:hint="eastAsia" w:ascii="方正仿宋_GBK" w:hAnsi="黑体" w:eastAsia="方正仿宋_GBK"/>
              <w:sz w:val="22"/>
              <w:szCs w:val="28"/>
            </w:rPr>
            <w:t>6</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重大分歧意见处理情况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_Toc179902679 \h </w:instrText>
          </w:r>
          <w:r>
            <w:rPr>
              <w:rFonts w:hint="eastAsia" w:ascii="方正仿宋_GBK" w:eastAsia="方正仿宋_GBK"/>
              <w:sz w:val="22"/>
              <w:szCs w:val="28"/>
            </w:rPr>
            <w:fldChar w:fldCharType="separate"/>
          </w:r>
          <w:r>
            <w:rPr>
              <w:rFonts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7255B1A1">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"_Toc179902680" </w:instrText>
          </w:r>
          <w:r>
            <w:fldChar w:fldCharType="separate"/>
          </w:r>
          <w:r>
            <w:rPr>
              <w:rStyle w:val="12"/>
              <w:rFonts w:hint="eastAsia" w:ascii="方正仿宋_GBK" w:hAnsi="黑体" w:eastAsia="方正仿宋_GBK"/>
              <w:sz w:val="22"/>
              <w:szCs w:val="28"/>
            </w:rPr>
            <w:t>7</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标准涉及专利处置情况</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_Toc179902680 \h </w:instrText>
          </w:r>
          <w:r>
            <w:rPr>
              <w:rFonts w:hint="eastAsia" w:ascii="方正仿宋_GBK" w:eastAsia="方正仿宋_GBK"/>
              <w:sz w:val="22"/>
              <w:szCs w:val="28"/>
            </w:rPr>
            <w:fldChar w:fldCharType="separate"/>
          </w:r>
          <w:r>
            <w:rPr>
              <w:rFonts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4EB4E38">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"_Toc179902681" </w:instrText>
          </w:r>
          <w:r>
            <w:fldChar w:fldCharType="separate"/>
          </w:r>
          <w:r>
            <w:rPr>
              <w:rStyle w:val="12"/>
              <w:rFonts w:hint="eastAsia" w:ascii="方正仿宋_GBK" w:hAnsi="黑体" w:eastAsia="方正仿宋_GBK"/>
              <w:sz w:val="22"/>
              <w:szCs w:val="28"/>
            </w:rPr>
            <w:t>8</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贯彻规范的要求和措施建议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_Toc179902681 \h </w:instrText>
          </w:r>
          <w:r>
            <w:rPr>
              <w:rFonts w:hint="eastAsia" w:ascii="方正仿宋_GBK" w:eastAsia="方正仿宋_GBK"/>
              <w:sz w:val="22"/>
              <w:szCs w:val="28"/>
            </w:rPr>
            <w:fldChar w:fldCharType="separate"/>
          </w:r>
          <w:r>
            <w:rPr>
              <w:rFonts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3EF4607">
          <w:pPr>
            <w:pStyle w:val="7"/>
            <w:tabs>
              <w:tab w:val="left" w:pos="420"/>
            </w:tabs>
            <w:rPr>
              <w:rFonts w:ascii="方正仿宋_GBK" w:eastAsia="方正仿宋_GBK" w:hAnsiTheme="minorHAnsi" w:cstheme="minorBidi"/>
              <w:sz w:val="22"/>
              <w14:ligatures w14:val="standardContextual"/>
            </w:rPr>
          </w:pPr>
          <w:r>
            <w:fldChar w:fldCharType="begin"/>
          </w:r>
          <w:r>
            <w:instrText xml:space="preserve"> HYPERLINK \l "_Toc179902682" </w:instrText>
          </w:r>
          <w:r>
            <w:fldChar w:fldCharType="separate"/>
          </w:r>
          <w:r>
            <w:rPr>
              <w:rStyle w:val="12"/>
              <w:rFonts w:hint="eastAsia" w:ascii="方正仿宋_GBK" w:hAnsi="黑体" w:eastAsia="方正仿宋_GBK"/>
              <w:sz w:val="22"/>
              <w:szCs w:val="28"/>
            </w:rPr>
            <w:t>9</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代替或废止现行有关标准的建议</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_Toc179902682 \h </w:instrText>
          </w:r>
          <w:r>
            <w:rPr>
              <w:rFonts w:hint="eastAsia" w:ascii="方正仿宋_GBK" w:eastAsia="方正仿宋_GBK"/>
              <w:sz w:val="22"/>
              <w:szCs w:val="28"/>
            </w:rPr>
            <w:fldChar w:fldCharType="separate"/>
          </w:r>
          <w:r>
            <w:rPr>
              <w:rFonts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64C1C22C">
          <w:pPr>
            <w:pStyle w:val="7"/>
            <w:tabs>
              <w:tab w:val="left" w:pos="630"/>
            </w:tabs>
            <w:rPr>
              <w:rFonts w:asciiTheme="minorHAnsi" w:hAnsiTheme="minorHAnsi" w:eastAsiaTheme="minorEastAsia" w:cstheme="minorBidi"/>
              <w:szCs w:val="22"/>
              <w14:ligatures w14:val="standardContextual"/>
            </w:rPr>
          </w:pPr>
          <w:r>
            <w:fldChar w:fldCharType="begin"/>
          </w:r>
          <w:r>
            <w:instrText xml:space="preserve"> HYPERLINK \l "_Toc179902683" </w:instrText>
          </w:r>
          <w:r>
            <w:fldChar w:fldCharType="separate"/>
          </w:r>
          <w:r>
            <w:rPr>
              <w:rStyle w:val="12"/>
              <w:rFonts w:hint="eastAsia" w:ascii="方正仿宋_GBK" w:hAnsi="黑体" w:eastAsia="方正仿宋_GBK"/>
              <w:sz w:val="22"/>
              <w:szCs w:val="28"/>
            </w:rPr>
            <w:t>10</w:t>
          </w:r>
          <w:r>
            <w:rPr>
              <w:rFonts w:hint="eastAsia" w:ascii="方正仿宋_GBK" w:eastAsia="方正仿宋_GBK" w:hAnsiTheme="minorHAnsi" w:cstheme="minorBidi"/>
              <w:sz w:val="22"/>
              <w14:ligatures w14:val="standardContextual"/>
            </w:rPr>
            <w:tab/>
          </w:r>
          <w:r>
            <w:rPr>
              <w:rStyle w:val="12"/>
              <w:rFonts w:hint="eastAsia" w:ascii="方正仿宋_GBK" w:hAnsi="黑体" w:eastAsia="方正仿宋_GBK"/>
              <w:sz w:val="22"/>
              <w:szCs w:val="28"/>
            </w:rPr>
            <w:t>其他应予说明的事项</w:t>
          </w:r>
          <w:r>
            <w:rPr>
              <w:rFonts w:hint="eastAsia" w:ascii="方正仿宋_GBK" w:eastAsia="方正仿宋_GBK"/>
              <w:sz w:val="22"/>
              <w:szCs w:val="28"/>
            </w:rPr>
            <w:tab/>
          </w:r>
          <w:r>
            <w:rPr>
              <w:rFonts w:hint="eastAsia" w:ascii="方正仿宋_GBK" w:eastAsia="方正仿宋_GBK"/>
              <w:sz w:val="22"/>
              <w:szCs w:val="28"/>
            </w:rPr>
            <w:fldChar w:fldCharType="begin"/>
          </w:r>
          <w:r>
            <w:rPr>
              <w:rFonts w:hint="eastAsia" w:ascii="方正仿宋_GBK" w:eastAsia="方正仿宋_GBK"/>
              <w:sz w:val="22"/>
              <w:szCs w:val="28"/>
            </w:rPr>
            <w:instrText xml:space="preserve"> PAGEREF _Toc179902683 \h </w:instrText>
          </w:r>
          <w:r>
            <w:rPr>
              <w:rFonts w:hint="eastAsia" w:ascii="方正仿宋_GBK" w:eastAsia="方正仿宋_GBK"/>
              <w:sz w:val="22"/>
              <w:szCs w:val="28"/>
            </w:rPr>
            <w:fldChar w:fldCharType="separate"/>
          </w:r>
          <w:r>
            <w:rPr>
              <w:rFonts w:ascii="方正仿宋_GBK" w:eastAsia="方正仿宋_GBK"/>
              <w:sz w:val="22"/>
              <w:szCs w:val="28"/>
            </w:rPr>
            <w:t>5</w:t>
          </w:r>
          <w:r>
            <w:rPr>
              <w:rFonts w:hint="eastAsia" w:ascii="方正仿宋_GBK" w:eastAsia="方正仿宋_GBK"/>
              <w:sz w:val="22"/>
              <w:szCs w:val="28"/>
            </w:rPr>
            <w:fldChar w:fldCharType="end"/>
          </w:r>
          <w:r>
            <w:rPr>
              <w:rFonts w:hint="eastAsia" w:ascii="方正仿宋_GBK" w:eastAsia="方正仿宋_GBK"/>
              <w:sz w:val="22"/>
              <w:szCs w:val="28"/>
            </w:rPr>
            <w:fldChar w:fldCharType="end"/>
          </w:r>
        </w:p>
        <w:p w14:paraId="5419C0F0">
          <w:r>
            <w:rPr>
              <w:rFonts w:hint="eastAsia" w:ascii="方正仿宋_GBK" w:eastAsia="方正仿宋_GBK"/>
              <w:sz w:val="32"/>
              <w:szCs w:val="36"/>
              <w:lang w:val="zh-CN"/>
            </w:rPr>
            <w:fldChar w:fldCharType="end"/>
          </w:r>
        </w:p>
      </w:sdtContent>
    </w:sdt>
    <w:p w14:paraId="5812A878"/>
    <w:p w14:paraId="7C07EB83">
      <w:pPr>
        <w:tabs>
          <w:tab w:val="left" w:pos="2769"/>
        </w:tabs>
      </w:pPr>
      <w:r>
        <w:tab/>
      </w:r>
    </w:p>
    <w:p w14:paraId="3A1357E7">
      <w:pPr>
        <w:tabs>
          <w:tab w:val="left" w:pos="2769"/>
        </w:tabs>
        <w:sectPr>
          <w:pgSz w:w="11906" w:h="16838"/>
          <w:pgMar w:top="1440" w:right="1800" w:bottom="1440" w:left="1800" w:header="851" w:footer="992" w:gutter="0"/>
          <w:cols w:space="425" w:num="1"/>
          <w:docGrid w:type="lines" w:linePitch="312" w:charSpace="0"/>
        </w:sectPr>
      </w:pPr>
      <w:r>
        <w:tab/>
      </w:r>
    </w:p>
    <w:p w14:paraId="4C0AF8A1">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《电力建设绿色建造监理导则 第1部分：火力发电工程》</w:t>
      </w:r>
    </w:p>
    <w:p w14:paraId="3037D19C">
      <w:pPr>
        <w:jc w:val="center"/>
        <w:rPr>
          <w:rFonts w:ascii="方正小标宋_GBK" w:hAnsi="方正小标宋_GBK" w:eastAsia="方正小标宋_GBK"/>
          <w:bCs/>
          <w:sz w:val="32"/>
          <w:szCs w:val="32"/>
        </w:rPr>
      </w:pPr>
      <w:r>
        <w:rPr>
          <w:rFonts w:hint="eastAsia" w:ascii="方正小标宋_GBK" w:hAnsi="方正小标宋_GBK" w:eastAsia="方正小标宋_GBK"/>
          <w:bCs/>
          <w:sz w:val="32"/>
          <w:szCs w:val="32"/>
        </w:rPr>
        <w:t>标准编制说明</w:t>
      </w:r>
    </w:p>
    <w:p w14:paraId="6C70A3B8">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0" w:name="_Toc179902666"/>
      <w:r>
        <w:rPr>
          <w:rFonts w:hint="eastAsia" w:ascii="黑体" w:hAnsi="黑体" w:eastAsia="黑体"/>
          <w:b/>
          <w:sz w:val="28"/>
          <w:szCs w:val="28"/>
        </w:rPr>
        <w:t>工作简况</w:t>
      </w:r>
      <w:bookmarkEnd w:id="0"/>
    </w:p>
    <w:p w14:paraId="2E8D6A73">
      <w:pPr>
        <w:pStyle w:val="14"/>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1" w:name="_Toc179902667"/>
      <w:r>
        <w:rPr>
          <w:rFonts w:hint="eastAsia" w:ascii="方正楷体_GBK" w:hAnsi="楷体_GB2312" w:eastAsia="方正楷体_GBK" w:cs="宋体"/>
          <w:b/>
          <w:bCs/>
          <w:sz w:val="24"/>
          <w:szCs w:val="24"/>
        </w:rPr>
        <w:t>任务来源</w:t>
      </w:r>
      <w:bookmarkEnd w:id="1"/>
    </w:p>
    <w:p w14:paraId="5765DAA7">
      <w:pPr>
        <w:autoSpaceDE w:val="0"/>
        <w:autoSpaceDN w:val="0"/>
        <w:adjustRightInd w:val="0"/>
        <w:spacing w:line="360" w:lineRule="auto"/>
        <w:ind w:firstLine="480" w:firstLineChars="200"/>
        <w:rPr>
          <w:rFonts w:ascii="仿宋_GB2312" w:hAnsi="Times New Roman" w:eastAsia="仿宋_GB2312" w:cs="宋体"/>
          <w:sz w:val="24"/>
          <w:szCs w:val="24"/>
        </w:rPr>
      </w:pPr>
      <w:bookmarkStart w:id="2" w:name="_Toc179902668"/>
      <w:r>
        <w:rPr>
          <w:rFonts w:ascii="仿宋_GB2312" w:hAnsi="Times New Roman" w:eastAsia="仿宋_GB2312" w:cs="宋体"/>
          <w:sz w:val="24"/>
          <w:szCs w:val="24"/>
        </w:rPr>
        <w:t>根据《关于印发2025年</w:t>
      </w:r>
      <w:r>
        <w:rPr>
          <w:rFonts w:hint="eastAsia" w:ascii="仿宋_GB2312" w:hAnsi="Times New Roman" w:eastAsia="仿宋_GB2312" w:cs="宋体"/>
          <w:sz w:val="24"/>
          <w:szCs w:val="24"/>
        </w:rPr>
        <w:t>第一</w:t>
      </w:r>
      <w:r>
        <w:rPr>
          <w:rFonts w:ascii="仿宋_GB2312" w:hAnsi="Times New Roman" w:eastAsia="仿宋_GB2312" w:cs="宋体"/>
          <w:sz w:val="24"/>
          <w:szCs w:val="24"/>
        </w:rPr>
        <w:t>批中国电力建设企业协会团体标准制定计划的通知》（中电建协〔2025〕131号）文件安排，对计划编号为 “T/CEPCA</w:t>
      </w:r>
      <w:r>
        <w:rPr>
          <w:rFonts w:hint="eastAsia" w:ascii="仿宋_GB2312" w:hAnsi="Times New Roman" w:eastAsia="仿宋_GB2312" w:cs="宋体"/>
          <w:sz w:val="24"/>
          <w:szCs w:val="24"/>
        </w:rPr>
        <w:t xml:space="preserve"> 20</w:t>
      </w:r>
      <w:r>
        <w:rPr>
          <w:rFonts w:ascii="仿宋_GB2312" w:hAnsi="Times New Roman" w:eastAsia="仿宋_GB2312" w:cs="宋体"/>
          <w:sz w:val="24"/>
          <w:szCs w:val="24"/>
        </w:rPr>
        <w:t>25010”的中国电力建设企业协会（以下简称“中电建协”）标准项目《</w:t>
      </w:r>
      <w:r>
        <w:rPr>
          <w:rFonts w:hint="eastAsia" w:ascii="仿宋_GB2312" w:hAnsi="Times New Roman" w:eastAsia="仿宋_GB2312" w:cs="宋体"/>
          <w:sz w:val="24"/>
          <w:szCs w:val="24"/>
        </w:rPr>
        <w:t>电力建设绿色建造监理导则 第1部分：火力发电工程</w:t>
      </w:r>
      <w:r>
        <w:rPr>
          <w:rFonts w:ascii="仿宋_GB2312" w:hAnsi="Times New Roman" w:eastAsia="仿宋_GB2312" w:cs="宋体"/>
          <w:sz w:val="24"/>
          <w:szCs w:val="24"/>
        </w:rPr>
        <w:t>》（以下简称“本标准”）进行编制。</w:t>
      </w:r>
    </w:p>
    <w:p w14:paraId="49DFC76C">
      <w:pPr>
        <w:autoSpaceDE w:val="0"/>
        <w:autoSpaceDN w:val="0"/>
        <w:adjustRightInd w:val="0"/>
        <w:spacing w:line="360" w:lineRule="auto"/>
        <w:ind w:firstLine="480" w:firstLineChars="200"/>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编制必要性</w:t>
      </w:r>
      <w:bookmarkEnd w:id="2"/>
    </w:p>
    <w:p w14:paraId="50CF58D9">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（1）实现</w:t>
      </w:r>
      <w:r>
        <w:rPr>
          <w:rFonts w:ascii="仿宋_GB2312" w:hAnsi="Times New Roman" w:eastAsia="仿宋_GB2312" w:cs="宋体"/>
          <w:sz w:val="24"/>
          <w:szCs w:val="24"/>
        </w:rPr>
        <w:t>“</w:t>
      </w:r>
      <w:r>
        <w:rPr>
          <w:rFonts w:hint="eastAsia" w:ascii="仿宋_GB2312" w:hAnsi="Times New Roman" w:eastAsia="仿宋_GB2312" w:cs="宋体"/>
          <w:sz w:val="24"/>
          <w:szCs w:val="24"/>
        </w:rPr>
        <w:t>碳达峰</w:t>
      </w:r>
      <w:r>
        <w:rPr>
          <w:rFonts w:ascii="仿宋_GB2312" w:hAnsi="Times New Roman" w:eastAsia="仿宋_GB2312" w:cs="宋体"/>
          <w:sz w:val="24"/>
          <w:szCs w:val="24"/>
        </w:rPr>
        <w:t>、</w:t>
      </w:r>
      <w:r>
        <w:rPr>
          <w:rFonts w:hint="eastAsia" w:ascii="仿宋_GB2312" w:hAnsi="Times New Roman" w:eastAsia="仿宋_GB2312" w:cs="宋体"/>
          <w:sz w:val="24"/>
          <w:szCs w:val="24"/>
        </w:rPr>
        <w:t>碳</w:t>
      </w:r>
      <w:r>
        <w:rPr>
          <w:rFonts w:ascii="仿宋_GB2312" w:hAnsi="Times New Roman" w:eastAsia="仿宋_GB2312" w:cs="宋体"/>
          <w:sz w:val="24"/>
          <w:szCs w:val="24"/>
        </w:rPr>
        <w:t>中</w:t>
      </w:r>
      <w:r>
        <w:rPr>
          <w:rFonts w:hint="eastAsia" w:ascii="仿宋_GB2312" w:hAnsi="Times New Roman" w:eastAsia="仿宋_GB2312" w:cs="宋体"/>
          <w:sz w:val="24"/>
          <w:szCs w:val="24"/>
        </w:rPr>
        <w:t>和</w:t>
      </w:r>
      <w:r>
        <w:rPr>
          <w:rFonts w:ascii="仿宋_GB2312" w:hAnsi="Times New Roman" w:eastAsia="仿宋_GB2312" w:cs="宋体"/>
          <w:sz w:val="24"/>
          <w:szCs w:val="24"/>
        </w:rPr>
        <w:t>”</w:t>
      </w:r>
      <w:r>
        <w:rPr>
          <w:rFonts w:hint="eastAsia" w:ascii="仿宋_GB2312" w:hAnsi="Times New Roman" w:eastAsia="仿宋_GB2312" w:cs="宋体"/>
          <w:sz w:val="24"/>
          <w:szCs w:val="24"/>
        </w:rPr>
        <w:t>目标</w:t>
      </w:r>
      <w:r>
        <w:rPr>
          <w:rFonts w:ascii="仿宋_GB2312" w:hAnsi="Times New Roman" w:eastAsia="仿宋_GB2312" w:cs="宋体"/>
          <w:sz w:val="24"/>
          <w:szCs w:val="24"/>
        </w:rPr>
        <w:t>的需要</w:t>
      </w:r>
    </w:p>
    <w:p w14:paraId="1C77F4A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贯彻落实党的二十届三中全会精神，响应国家能源局《新型电力系统发展蓝皮书》要求，需要通过开展绿色建造监理工作支撑建设新型电力系统和新型能源体系构建。中共中央、国务院联合印发《关于完整准确全面贯彻新发展理念做好碳达峰碳中和工作的意见》提出要实施工程建设全过程绿色建造，而绿色建造监理工作是实现绿色建造的重要抓手，通过全过程监督和管理，确保火力发电工程各阶段符合绿色建造要求，助力“双碳”目标的实现。进一步明确火力发电工程绿色建造监理工作内容和管理要求。</w:t>
      </w:r>
    </w:p>
    <w:p w14:paraId="1D4730A4">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（2）推进火力发电</w:t>
      </w:r>
      <w:r>
        <w:rPr>
          <w:rFonts w:ascii="仿宋_GB2312" w:hAnsi="Times New Roman" w:eastAsia="仿宋_GB2312" w:cs="宋体"/>
          <w:sz w:val="24"/>
          <w:szCs w:val="24"/>
        </w:rPr>
        <w:t>工程</w:t>
      </w:r>
      <w:r>
        <w:rPr>
          <w:rFonts w:hint="eastAsia" w:ascii="仿宋_GB2312" w:hAnsi="Times New Roman" w:eastAsia="仿宋_GB2312" w:cs="宋体"/>
          <w:sz w:val="24"/>
          <w:szCs w:val="24"/>
        </w:rPr>
        <w:t>绿色建造监理标准体系</w:t>
      </w:r>
      <w:r>
        <w:rPr>
          <w:rFonts w:ascii="仿宋_GB2312" w:hAnsi="Times New Roman" w:eastAsia="仿宋_GB2312" w:cs="宋体"/>
          <w:sz w:val="24"/>
          <w:szCs w:val="24"/>
        </w:rPr>
        <w:t>建设的需要</w:t>
      </w:r>
    </w:p>
    <w:p w14:paraId="425B10E3">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关于火力发电工程绿色建造监理标准，目前国内无相关监理标准。关于绿色建造目前国内相关标准主要有</w:t>
      </w:r>
      <w:r>
        <w:rPr>
          <w:rFonts w:ascii="仿宋_GB2312" w:hAnsi="Times New Roman" w:eastAsia="仿宋_GB2312" w:cs="宋体"/>
          <w:sz w:val="24"/>
          <w:szCs w:val="24"/>
        </w:rPr>
        <w:t>T/</w:t>
      </w:r>
      <w:r>
        <w:rPr>
          <w:rFonts w:hint="eastAsia" w:ascii="仿宋_GB2312" w:hAnsi="Times New Roman" w:eastAsia="仿宋_GB2312" w:cs="宋体"/>
          <w:sz w:val="24"/>
          <w:szCs w:val="24"/>
        </w:rPr>
        <w:t>C</w:t>
      </w:r>
      <w:r>
        <w:rPr>
          <w:rFonts w:ascii="仿宋_GB2312" w:hAnsi="Times New Roman" w:eastAsia="仿宋_GB2312" w:cs="宋体"/>
          <w:sz w:val="24"/>
          <w:szCs w:val="24"/>
        </w:rPr>
        <w:t>EPCA 1010-2024</w:t>
      </w:r>
      <w:r>
        <w:rPr>
          <w:rFonts w:hint="eastAsia" w:ascii="仿宋_GB2312" w:hAnsi="Times New Roman" w:eastAsia="仿宋_GB2312" w:cs="宋体"/>
          <w:sz w:val="24"/>
          <w:szCs w:val="24"/>
        </w:rPr>
        <w:t>《电力建设工程绿色建造评价》、</w:t>
      </w:r>
      <w:r>
        <w:rPr>
          <w:rFonts w:ascii="仿宋_GB2312" w:hAnsi="Times New Roman" w:eastAsia="仿宋_GB2312" w:cs="宋体"/>
          <w:sz w:val="24"/>
          <w:szCs w:val="24"/>
        </w:rPr>
        <w:t>建办质〔2021〕9号</w:t>
      </w:r>
      <w:r>
        <w:rPr>
          <w:rFonts w:hint="eastAsia" w:ascii="仿宋_GB2312" w:hAnsi="Times New Roman" w:eastAsia="仿宋_GB2312" w:cs="宋体"/>
          <w:sz w:val="24"/>
          <w:szCs w:val="24"/>
        </w:rPr>
        <w:t>《绿色建造技术导则</w:t>
      </w:r>
      <w:r>
        <w:rPr>
          <w:rFonts w:ascii="仿宋_GB2312" w:hAnsi="Times New Roman" w:eastAsia="仿宋_GB2312" w:cs="宋体"/>
          <w:sz w:val="24"/>
          <w:szCs w:val="24"/>
        </w:rPr>
        <w:t>（试行）</w:t>
      </w:r>
      <w:r>
        <w:rPr>
          <w:rFonts w:hint="eastAsia" w:ascii="仿宋_GB2312" w:hAnsi="Times New Roman" w:eastAsia="仿宋_GB2312" w:cs="宋体"/>
          <w:sz w:val="24"/>
          <w:szCs w:val="24"/>
        </w:rPr>
        <w:t>》、GBT 50905-2014《建筑工程绿色施工规范》、</w:t>
      </w:r>
      <w:r>
        <w:rPr>
          <w:rFonts w:ascii="仿宋_GB2312" w:hAnsi="Times New Roman" w:eastAsia="仿宋_GB2312" w:cs="宋体"/>
          <w:sz w:val="24"/>
          <w:szCs w:val="24"/>
        </w:rPr>
        <w:t>GB/T 50640-2023</w:t>
      </w:r>
      <w:r>
        <w:rPr>
          <w:rFonts w:hint="eastAsia" w:ascii="仿宋_GB2312" w:hAnsi="Times New Roman" w:eastAsia="仿宋_GB2312" w:cs="宋体"/>
          <w:sz w:val="24"/>
          <w:szCs w:val="24"/>
        </w:rPr>
        <w:t>《</w:t>
      </w:r>
      <w:r>
        <w:rPr>
          <w:rFonts w:ascii="仿宋_GB2312" w:hAnsi="Times New Roman" w:eastAsia="仿宋_GB2312" w:cs="宋体"/>
          <w:sz w:val="24"/>
          <w:szCs w:val="24"/>
        </w:rPr>
        <w:t>建筑与市政工程绿色施工评价标准</w:t>
      </w:r>
      <w:r>
        <w:rPr>
          <w:rFonts w:hint="eastAsia" w:ascii="仿宋_GB2312" w:hAnsi="Times New Roman" w:eastAsia="仿宋_GB2312" w:cs="宋体"/>
          <w:sz w:val="24"/>
          <w:szCs w:val="24"/>
        </w:rPr>
        <w:t>》等标准。</w:t>
      </w:r>
    </w:p>
    <w:p w14:paraId="7E9A633C">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T/</w:t>
      </w:r>
      <w:r>
        <w:rPr>
          <w:rFonts w:hint="eastAsia" w:ascii="仿宋_GB2312" w:hAnsi="Times New Roman" w:eastAsia="仿宋_GB2312" w:cs="宋体"/>
          <w:sz w:val="24"/>
          <w:szCs w:val="24"/>
        </w:rPr>
        <w:t>C</w:t>
      </w:r>
      <w:r>
        <w:rPr>
          <w:rFonts w:ascii="仿宋_GB2312" w:hAnsi="Times New Roman" w:eastAsia="仿宋_GB2312" w:cs="宋体"/>
          <w:sz w:val="24"/>
          <w:szCs w:val="24"/>
        </w:rPr>
        <w:t>EPCA 1010-2024</w:t>
      </w:r>
      <w:r>
        <w:rPr>
          <w:rFonts w:hint="eastAsia" w:ascii="仿宋_GB2312" w:hAnsi="Times New Roman" w:eastAsia="仿宋_GB2312" w:cs="宋体"/>
          <w:sz w:val="24"/>
          <w:szCs w:val="24"/>
        </w:rPr>
        <w:t>《电力建设工程绿色建造评价》为中国电力建设企业协会团体标准，涵盖了绿色建造各阶段评价要求，明确了建设单位、设计单位、施工单位的工作内容和要求，未明监理单位的工作内容和要求。</w:t>
      </w:r>
      <w:r>
        <w:rPr>
          <w:rFonts w:ascii="仿宋_GB2312" w:hAnsi="Times New Roman" w:eastAsia="仿宋_GB2312" w:cs="宋体"/>
          <w:sz w:val="24"/>
          <w:szCs w:val="24"/>
        </w:rPr>
        <w:t>建办质〔2021〕9号</w:t>
      </w:r>
      <w:r>
        <w:rPr>
          <w:rFonts w:hint="eastAsia" w:ascii="仿宋_GB2312" w:hAnsi="Times New Roman" w:eastAsia="仿宋_GB2312" w:cs="宋体"/>
          <w:sz w:val="24"/>
          <w:szCs w:val="24"/>
        </w:rPr>
        <w:t>《绿色建造技术导则</w:t>
      </w:r>
      <w:r>
        <w:rPr>
          <w:rFonts w:ascii="仿宋_GB2312" w:hAnsi="Times New Roman" w:eastAsia="仿宋_GB2312" w:cs="宋体"/>
          <w:sz w:val="24"/>
          <w:szCs w:val="24"/>
        </w:rPr>
        <w:t>（试行）</w:t>
      </w:r>
      <w:r>
        <w:rPr>
          <w:rFonts w:hint="eastAsia" w:ascii="仿宋_GB2312" w:hAnsi="Times New Roman" w:eastAsia="仿宋_GB2312" w:cs="宋体"/>
          <w:sz w:val="24"/>
          <w:szCs w:val="24"/>
        </w:rPr>
        <w:t>》涵盖了绿色建造各阶段建设单位、设计单位、施工单位工作内容和要求，未明确监理单位的内容和要求。GBT 50905-2014《建筑工程绿色施工规范》、</w:t>
      </w:r>
      <w:r>
        <w:rPr>
          <w:rFonts w:ascii="仿宋_GB2312" w:hAnsi="Times New Roman" w:eastAsia="仿宋_GB2312" w:cs="宋体"/>
          <w:sz w:val="24"/>
          <w:szCs w:val="24"/>
        </w:rPr>
        <w:t>GB/T 50640-2023</w:t>
      </w:r>
      <w:r>
        <w:rPr>
          <w:rFonts w:hint="eastAsia" w:ascii="仿宋_GB2312" w:hAnsi="Times New Roman" w:eastAsia="仿宋_GB2312" w:cs="宋体"/>
          <w:sz w:val="24"/>
          <w:szCs w:val="24"/>
        </w:rPr>
        <w:t>《</w:t>
      </w:r>
      <w:r>
        <w:rPr>
          <w:rFonts w:ascii="仿宋_GB2312" w:hAnsi="Times New Roman" w:eastAsia="仿宋_GB2312" w:cs="宋体"/>
          <w:sz w:val="24"/>
          <w:szCs w:val="24"/>
        </w:rPr>
        <w:t>建筑与市政工程绿色施工评价标准</w:t>
      </w:r>
      <w:r>
        <w:rPr>
          <w:rFonts w:hint="eastAsia" w:ascii="仿宋_GB2312" w:hAnsi="Times New Roman" w:eastAsia="仿宋_GB2312" w:cs="宋体"/>
          <w:sz w:val="24"/>
          <w:szCs w:val="24"/>
        </w:rPr>
        <w:t>》明确了建筑工程施工单位绿色施工和评价工作的内容和要求，未明确监理单位的内容和要求。</w:t>
      </w:r>
    </w:p>
    <w:p w14:paraId="7D1B62D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山东诚信工程建设监理有限公司根据上述背景，为进一步推进火力发电工程绿色建造监理导则标准化开展，适应新建、扩建、改建的火力发电工程绿色建造监理工作，组织开展本标准编制工作并向中国电力建设企业协会提出申请。</w:t>
      </w:r>
    </w:p>
    <w:p w14:paraId="74BCC60E">
      <w:pPr>
        <w:pStyle w:val="14"/>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3" w:name="_Toc179902669"/>
      <w:r>
        <w:rPr>
          <w:rFonts w:hint="eastAsia" w:ascii="方正楷体_GBK" w:hAnsi="楷体_GB2312" w:eastAsia="方正楷体_GBK" w:cs="宋体"/>
          <w:b/>
          <w:bCs/>
          <w:sz w:val="24"/>
          <w:szCs w:val="24"/>
        </w:rPr>
        <w:t>编制单位</w:t>
      </w:r>
      <w:bookmarkEnd w:id="3"/>
    </w:p>
    <w:p w14:paraId="6F507FCA">
      <w:pPr>
        <w:autoSpaceDE w:val="0"/>
        <w:autoSpaceDN w:val="0"/>
        <w:adjustRightInd w:val="0"/>
        <w:spacing w:line="360" w:lineRule="auto"/>
        <w:ind w:firstLine="480" w:firstLineChars="200"/>
        <w:rPr>
          <w:rFonts w:ascii="仿宋_GB2312" w:hAnsi="Times New Roman" w:eastAsia="仿宋_GB2312" w:cs="宋体"/>
          <w:sz w:val="24"/>
          <w:szCs w:val="24"/>
        </w:rPr>
      </w:pPr>
      <w:bookmarkStart w:id="4" w:name="_Toc179902670"/>
      <w:r>
        <w:rPr>
          <w:rFonts w:hint="eastAsia" w:ascii="仿宋_GB2312" w:hAnsi="Times New Roman" w:eastAsia="仿宋_GB2312" w:cs="宋体"/>
          <w:sz w:val="24"/>
          <w:szCs w:val="24"/>
        </w:rPr>
        <w:t>山东诚信工程建设监理有限公司</w:t>
      </w:r>
    </w:p>
    <w:p w14:paraId="7E435480">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广州电力工程监理有限公司</w:t>
      </w:r>
    </w:p>
    <w:p w14:paraId="780DB6E5">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国能电力技术工程有限公司</w:t>
      </w:r>
    </w:p>
    <w:p w14:paraId="412E6DE5">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国网江苏省电力工程咨询有限公司</w:t>
      </w:r>
    </w:p>
    <w:p w14:paraId="2D3ACA07">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华电（重庆）燃机发电有限公司</w:t>
      </w:r>
    </w:p>
    <w:p w14:paraId="43652E3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内蒙古能源发电投资集团有限公司电力工程技术研究院</w:t>
      </w:r>
    </w:p>
    <w:p w14:paraId="1BAB7669">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浙江电力建设工程咨询有限公司</w:t>
      </w:r>
    </w:p>
    <w:p w14:paraId="1FE2ABD3">
      <w:pPr>
        <w:pStyle w:val="14"/>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主要工作过程</w:t>
      </w:r>
      <w:bookmarkEnd w:id="4"/>
    </w:p>
    <w:p w14:paraId="1CC273C0">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2025年6月，中电建协标委会对本标准项目予以立项，项目以《关于印发2025年</w:t>
      </w:r>
      <w:r>
        <w:rPr>
          <w:rFonts w:hint="eastAsia" w:ascii="仿宋_GB2312" w:hAnsi="Times New Roman" w:eastAsia="仿宋_GB2312" w:cs="宋体"/>
          <w:sz w:val="24"/>
          <w:szCs w:val="24"/>
        </w:rPr>
        <w:t>第一</w:t>
      </w:r>
      <w:r>
        <w:rPr>
          <w:rFonts w:ascii="仿宋_GB2312" w:hAnsi="Times New Roman" w:eastAsia="仿宋_GB2312" w:cs="宋体"/>
          <w:sz w:val="24"/>
          <w:szCs w:val="24"/>
        </w:rPr>
        <w:t>批中国电力建设企业协会团体标准制定计划的通知》（中电建协〔2025〕131号）文件向社会发布。</w:t>
      </w:r>
    </w:p>
    <w:p w14:paraId="37EE857E">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2025年7月，山东诚信工程建设监理有限公司联系了监理相关工作经验丰富的咨询单位、建设单位、研究院等，成立标准编制工作组。参编单位包括单位：</w:t>
      </w:r>
      <w:r>
        <w:rPr>
          <w:rFonts w:ascii="仿宋_GB2312" w:hAnsi="Times New Roman" w:eastAsia="仿宋_GB2312" w:cs="宋体"/>
          <w:sz w:val="24"/>
          <w:szCs w:val="24"/>
        </w:rPr>
        <w:t>广州电力工程监理有限公司</w:t>
      </w:r>
      <w:r>
        <w:rPr>
          <w:rFonts w:hint="eastAsia" w:ascii="仿宋_GB2312" w:hAnsi="Times New Roman" w:eastAsia="仿宋_GB2312" w:cs="宋体"/>
          <w:sz w:val="24"/>
          <w:szCs w:val="24"/>
        </w:rPr>
        <w:t>、国能电力技术工程有限公司、国网江苏省电力工程咨询有限公司、华电（重庆）燃机发电有限公司、内蒙古能源发电投资集团有限公司电力工程技术研究院、浙江电力建设工程咨询有限公司。</w:t>
      </w:r>
    </w:p>
    <w:p w14:paraId="01B5BEEA">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2025年9月2</w:t>
      </w:r>
      <w:r>
        <w:rPr>
          <w:rFonts w:ascii="仿宋_GB2312" w:hAnsi="Times New Roman" w:eastAsia="仿宋_GB2312" w:cs="宋体"/>
          <w:sz w:val="24"/>
          <w:szCs w:val="24"/>
        </w:rPr>
        <w:t>4</w:t>
      </w:r>
      <w:r>
        <w:rPr>
          <w:rFonts w:hint="eastAsia" w:ascii="仿宋_GB2312" w:hAnsi="Times New Roman" w:eastAsia="仿宋_GB2312" w:cs="宋体"/>
          <w:sz w:val="24"/>
          <w:szCs w:val="24"/>
        </w:rPr>
        <w:t>日-25日，中国电力建设企业协会在长沙组织召开《电力建设绿色建造监理导则 第1部分：火力发电工程》标准初稿讨论会，统一确定了标准名称，对初稿主要内容进行讨论，确认标准按照GB/T</w:t>
      </w:r>
      <w:r>
        <w:rPr>
          <w:rFonts w:ascii="仿宋_GB2312" w:hAnsi="Times New Roman" w:eastAsia="仿宋_GB2312" w:cs="宋体"/>
          <w:sz w:val="24"/>
          <w:szCs w:val="24"/>
        </w:rPr>
        <w:t xml:space="preserve"> </w:t>
      </w:r>
      <w:r>
        <w:rPr>
          <w:rFonts w:hint="eastAsia" w:ascii="仿宋_GB2312" w:hAnsi="Times New Roman" w:eastAsia="仿宋_GB2312" w:cs="宋体"/>
          <w:sz w:val="24"/>
          <w:szCs w:val="24"/>
        </w:rPr>
        <w:t>1.1-2020 《标准化工作导则 第1部分：标准化文件的结构和起草规则》的规定格式编写，明确了标准大纲、编制分工及后续编写工作计划。</w:t>
      </w:r>
    </w:p>
    <w:p w14:paraId="4A17DC06">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w:t>
      </w:r>
      <w:r>
        <w:rPr>
          <w:rFonts w:ascii="仿宋_GB2312" w:hAnsi="Times New Roman" w:eastAsia="仿宋_GB2312" w:cs="宋体"/>
          <w:sz w:val="24"/>
          <w:szCs w:val="24"/>
        </w:rPr>
        <w:t>025</w:t>
      </w:r>
      <w:r>
        <w:rPr>
          <w:rFonts w:hint="eastAsia" w:ascii="仿宋_GB2312" w:hAnsi="Times New Roman" w:eastAsia="仿宋_GB2312" w:cs="宋体"/>
          <w:sz w:val="24"/>
          <w:szCs w:val="24"/>
        </w:rPr>
        <w:t>年1</w:t>
      </w:r>
      <w:r>
        <w:rPr>
          <w:rFonts w:ascii="仿宋_GB2312" w:hAnsi="Times New Roman" w:eastAsia="仿宋_GB2312" w:cs="宋体"/>
          <w:sz w:val="24"/>
          <w:szCs w:val="24"/>
        </w:rPr>
        <w:t>0</w:t>
      </w:r>
      <w:r>
        <w:rPr>
          <w:rFonts w:hint="eastAsia" w:ascii="仿宋_GB2312" w:hAnsi="Times New Roman" w:eastAsia="仿宋_GB2312" w:cs="宋体"/>
          <w:sz w:val="24"/>
          <w:szCs w:val="24"/>
        </w:rPr>
        <w:t>月2</w:t>
      </w:r>
      <w:r>
        <w:rPr>
          <w:rFonts w:ascii="仿宋_GB2312" w:hAnsi="Times New Roman" w:eastAsia="仿宋_GB2312" w:cs="宋体"/>
          <w:sz w:val="24"/>
          <w:szCs w:val="24"/>
        </w:rPr>
        <w:t>3</w:t>
      </w:r>
      <w:r>
        <w:rPr>
          <w:rFonts w:hint="eastAsia" w:ascii="仿宋_GB2312" w:hAnsi="Times New Roman" w:eastAsia="仿宋_GB2312" w:cs="宋体"/>
          <w:sz w:val="24"/>
          <w:szCs w:val="24"/>
        </w:rPr>
        <w:t>日，山东诚信工程建设监理有限公司组织各参编单位召开线上讨论会议，会议讨论了初稿，逐条讨论存在疑义的问题并提出了解决方案，同类问题统一整改，确保编写内容符合规范要求。</w:t>
      </w:r>
    </w:p>
    <w:p w14:paraId="084E10A4">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2026年3月26</w:t>
      </w:r>
      <w:r>
        <w:rPr>
          <w:rFonts w:hint="eastAsia" w:ascii="仿宋_GB2312" w:hAnsi="Times New Roman" w:eastAsia="仿宋_GB2312" w:cs="宋体"/>
          <w:sz w:val="24"/>
          <w:szCs w:val="24"/>
        </w:rPr>
        <w:t>日，中国电力建设企业协会采用线上会议形式召开了征求意见稿定稿会，邀请相关单位专家参会，会上对标准逐条进行讨论，确定最终版征求意见稿。</w:t>
      </w:r>
    </w:p>
    <w:p w14:paraId="4D107502">
      <w:pPr>
        <w:pStyle w:val="14"/>
        <w:numPr>
          <w:ilvl w:val="1"/>
          <w:numId w:val="1"/>
        </w:numPr>
        <w:autoSpaceDE w:val="0"/>
        <w:autoSpaceDN w:val="0"/>
        <w:adjustRightInd w:val="0"/>
        <w:spacing w:line="360" w:lineRule="auto"/>
        <w:ind w:firstLineChars="0"/>
        <w:outlineLvl w:val="1"/>
        <w:rPr>
          <w:rFonts w:ascii="方正楷体_GBK" w:hAnsi="楷体_GB2312" w:eastAsia="方正楷体_GBK" w:cs="宋体"/>
          <w:b/>
          <w:bCs/>
          <w:sz w:val="24"/>
          <w:szCs w:val="24"/>
        </w:rPr>
      </w:pPr>
      <w:bookmarkStart w:id="5" w:name="_Toc179902671"/>
      <w:r>
        <w:rPr>
          <w:rFonts w:hint="eastAsia" w:ascii="方正楷体_GBK" w:hAnsi="楷体_GB2312" w:eastAsia="方正楷体_GBK" w:cs="宋体"/>
          <w:b/>
          <w:bCs/>
          <w:sz w:val="24"/>
          <w:szCs w:val="24"/>
        </w:rPr>
        <w:t>主要起草人</w:t>
      </w:r>
      <w:bookmarkEnd w:id="5"/>
    </w:p>
    <w:p w14:paraId="7712C93C">
      <w:pPr>
        <w:autoSpaceDE w:val="0"/>
        <w:autoSpaceDN w:val="0"/>
        <w:adjustRightInd w:val="0"/>
        <w:spacing w:line="360" w:lineRule="auto"/>
        <w:ind w:firstLine="480" w:firstLineChars="200"/>
        <w:rPr>
          <w:rFonts w:ascii="仿宋_GB2312" w:hAnsi="Times New Roman" w:eastAsia="仿宋_GB2312" w:cs="宋体"/>
          <w:sz w:val="24"/>
          <w:szCs w:val="24"/>
        </w:rPr>
      </w:pPr>
    </w:p>
    <w:p w14:paraId="579C9195">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6" w:name="_Toc179902672"/>
      <w:r>
        <w:rPr>
          <w:rFonts w:hint="eastAsia" w:ascii="黑体" w:hAnsi="黑体" w:eastAsia="黑体"/>
          <w:b/>
          <w:sz w:val="28"/>
          <w:szCs w:val="28"/>
        </w:rPr>
        <w:t>编制原则和主要内容</w:t>
      </w:r>
      <w:bookmarkEnd w:id="6"/>
    </w:p>
    <w:p w14:paraId="0C300BEA">
      <w:pPr>
        <w:autoSpaceDE w:val="0"/>
        <w:autoSpaceDN w:val="0"/>
        <w:adjustRightInd w:val="0"/>
        <w:spacing w:line="360" w:lineRule="auto"/>
        <w:ind w:firstLine="420"/>
        <w:outlineLvl w:val="1"/>
        <w:rPr>
          <w:rFonts w:ascii="方正楷体_GBK" w:hAnsi="楷体_GB2312" w:eastAsia="方正楷体_GBK" w:cs="宋体"/>
          <w:b/>
          <w:bCs/>
          <w:sz w:val="24"/>
          <w:szCs w:val="24"/>
        </w:rPr>
      </w:pPr>
      <w:bookmarkStart w:id="7" w:name="_Toc179902673"/>
      <w:r>
        <w:rPr>
          <w:rFonts w:hint="eastAsia" w:ascii="方正楷体_GBK" w:hAnsi="楷体_GB2312" w:eastAsia="方正楷体_GBK" w:cs="宋体"/>
          <w:b/>
          <w:bCs/>
          <w:sz w:val="24"/>
          <w:szCs w:val="24"/>
        </w:rPr>
        <w:t>2.1 编制原则</w:t>
      </w:r>
      <w:bookmarkEnd w:id="7"/>
    </w:p>
    <w:p w14:paraId="63C2E244">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本次编制的总体原则是结合当前火力发电工程绿色建造监理现状，指导监理企业水平提升，满足建设行业技术发展需求，具备引领行业发展的作用，具体包括：</w:t>
      </w:r>
    </w:p>
    <w:p w14:paraId="2B1A67A7">
      <w:pPr>
        <w:autoSpaceDE w:val="0"/>
        <w:autoSpaceDN w:val="0"/>
        <w:adjustRightInd w:val="0"/>
        <w:spacing w:line="360" w:lineRule="auto"/>
        <w:ind w:firstLine="480" w:firstLineChars="200"/>
        <w:rPr>
          <w:rFonts w:ascii="仿宋_GB2312" w:hAnsi="Times New Roman" w:eastAsia="仿宋_GB2312" w:cs="宋体"/>
          <w:sz w:val="24"/>
          <w:szCs w:val="24"/>
        </w:rPr>
      </w:pPr>
      <w:bookmarkStart w:id="8" w:name="_Toc179902674"/>
      <w:r>
        <w:rPr>
          <w:rFonts w:hint="eastAsia" w:ascii="仿宋_GB2312" w:hAnsi="Times New Roman" w:eastAsia="仿宋_GB2312" w:cs="宋体"/>
          <w:sz w:val="24"/>
          <w:szCs w:val="24"/>
        </w:rPr>
        <w:t>（1）贯彻执行现行相关国家政策、法律法规、标准。</w:t>
      </w:r>
    </w:p>
    <w:p w14:paraId="00B96233">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（2）火力发电工程绿色建造监理导则应满足监理工作的基本要求，应有利于提升现场监理履职能力，适用于新建、扩建、改建的火力发电工程绿色建造监理服务。</w:t>
      </w:r>
    </w:p>
    <w:p w14:paraId="4ABBAB1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（3）响应中共中央、国务院联合印发《关于完整准确全面贯彻新发展理念做好碳达峰碳中和工作的意见》以及国家能源局《新型电力系统发展蓝皮书》要求，推进工程建设全过程绿色建造。</w:t>
      </w:r>
    </w:p>
    <w:p w14:paraId="7F2C2E3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（4）标准应通过全过程监督和管理，确保火力发电工程各阶段符合绿色建造要求，助力“双碳”目标的实现。</w:t>
      </w:r>
    </w:p>
    <w:p w14:paraId="31F1D0EE">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（5）标准应易用、好用，起到引领作用。</w:t>
      </w:r>
    </w:p>
    <w:p w14:paraId="00946A2C">
      <w:pPr>
        <w:autoSpaceDE w:val="0"/>
        <w:autoSpaceDN w:val="0"/>
        <w:adjustRightInd w:val="0"/>
        <w:spacing w:line="360" w:lineRule="auto"/>
        <w:ind w:firstLine="480" w:firstLineChars="200"/>
        <w:rPr>
          <w:rFonts w:ascii="宋体" w:hAnsi="宋体"/>
          <w:b/>
          <w:sz w:val="28"/>
          <w:szCs w:val="36"/>
        </w:rPr>
      </w:pPr>
      <w:r>
        <w:rPr>
          <w:rFonts w:hint="eastAsia" w:ascii="仿宋_GB2312" w:hAnsi="Times New Roman" w:eastAsia="仿宋_GB2312" w:cs="宋体"/>
          <w:sz w:val="24"/>
          <w:szCs w:val="24"/>
        </w:rPr>
        <w:t>（6）符合《标准化工作导则第1部分:标准化文件的结构和起草规则》（GB/T</w:t>
      </w:r>
      <w:r>
        <w:rPr>
          <w:rFonts w:ascii="仿宋_GB2312" w:hAnsi="Times New Roman" w:eastAsia="仿宋_GB2312" w:cs="宋体"/>
          <w:sz w:val="24"/>
          <w:szCs w:val="24"/>
        </w:rPr>
        <w:t xml:space="preserve"> </w:t>
      </w:r>
      <w:r>
        <w:rPr>
          <w:rFonts w:hint="eastAsia" w:ascii="仿宋_GB2312" w:hAnsi="Times New Roman" w:eastAsia="仿宋_GB2312" w:cs="宋体"/>
          <w:sz w:val="24"/>
          <w:szCs w:val="24"/>
        </w:rPr>
        <w:t>1.1-2020）和《标准编写规则》（GB/T</w:t>
      </w:r>
      <w:r>
        <w:rPr>
          <w:rFonts w:ascii="仿宋_GB2312" w:hAnsi="Times New Roman" w:eastAsia="仿宋_GB2312" w:cs="宋体"/>
          <w:sz w:val="24"/>
          <w:szCs w:val="24"/>
        </w:rPr>
        <w:t xml:space="preserve"> </w:t>
      </w:r>
      <w:r>
        <w:rPr>
          <w:rFonts w:hint="eastAsia" w:ascii="仿宋_GB2312" w:hAnsi="Times New Roman" w:eastAsia="仿宋_GB2312" w:cs="宋体"/>
          <w:sz w:val="24"/>
          <w:szCs w:val="24"/>
        </w:rPr>
        <w:t>20001）要求。</w:t>
      </w:r>
    </w:p>
    <w:p w14:paraId="4C8F0A50">
      <w:pPr>
        <w:autoSpaceDE w:val="0"/>
        <w:autoSpaceDN w:val="0"/>
        <w:adjustRightInd w:val="0"/>
        <w:spacing w:line="360" w:lineRule="auto"/>
        <w:ind w:firstLine="42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2.2 编制依据</w:t>
      </w:r>
      <w:bookmarkEnd w:id="8"/>
    </w:p>
    <w:p w14:paraId="53D3B32E">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本标准参照现行国家有关电力建设的法律、法规、管理标准、技术标准、电力行业有关标准和相关行业标准。主要有：</w:t>
      </w:r>
    </w:p>
    <w:p w14:paraId="395152D8">
      <w:pPr>
        <w:autoSpaceDE w:val="0"/>
        <w:autoSpaceDN w:val="0"/>
        <w:adjustRightInd w:val="0"/>
        <w:spacing w:line="360" w:lineRule="auto"/>
        <w:ind w:firstLine="480" w:firstLineChars="200"/>
        <w:rPr>
          <w:rFonts w:ascii="仿宋_GB2312" w:hAnsi="Times New Roman" w:eastAsia="仿宋_GB2312" w:cs="宋体"/>
          <w:sz w:val="24"/>
          <w:szCs w:val="24"/>
        </w:rPr>
      </w:pPr>
      <w:bookmarkStart w:id="9" w:name="_Toc179902675"/>
      <w:r>
        <w:rPr>
          <w:rFonts w:hint="eastAsia" w:ascii="仿宋_GB2312" w:hAnsi="Times New Roman" w:eastAsia="仿宋_GB2312" w:cs="宋体"/>
          <w:sz w:val="24"/>
          <w:szCs w:val="24"/>
        </w:rPr>
        <w:t>（1）《绿色建造技术导则（试行）》建办质〔2021〕9号</w:t>
      </w:r>
    </w:p>
    <w:p w14:paraId="48749EA6">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（2）《绿色建筑评价标准》GBT 50378-2019</w:t>
      </w:r>
    </w:p>
    <w:p w14:paraId="0CE9B0C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（3）《建筑与市政工程绿色施工评价标准》GBT50640-2023</w:t>
      </w:r>
    </w:p>
    <w:p w14:paraId="7BEC715A">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（4）《绿色工业建筑评价标准》GBT 50878-2013</w:t>
      </w:r>
    </w:p>
    <w:p w14:paraId="71D5AC31">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（5）《建筑工程绿色施工规范》GBT 50905-2014</w:t>
      </w:r>
    </w:p>
    <w:p w14:paraId="6BD54A2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（6）《工程建设项目绿色建造水平评价标准》T</w:t>
      </w:r>
      <w:r>
        <w:rPr>
          <w:rFonts w:ascii="仿宋_GB2312" w:hAnsi="Times New Roman" w:eastAsia="仿宋_GB2312" w:cs="宋体"/>
          <w:sz w:val="24"/>
          <w:szCs w:val="24"/>
        </w:rPr>
        <w:t>/</w:t>
      </w:r>
      <w:r>
        <w:rPr>
          <w:rFonts w:hint="eastAsia" w:ascii="仿宋_GB2312" w:hAnsi="Times New Roman" w:eastAsia="仿宋_GB2312" w:cs="宋体"/>
          <w:sz w:val="24"/>
          <w:szCs w:val="24"/>
        </w:rPr>
        <w:t>ZSQX 017-2022</w:t>
      </w:r>
    </w:p>
    <w:p w14:paraId="4F758DDE">
      <w:pPr>
        <w:autoSpaceDE w:val="0"/>
        <w:autoSpaceDN w:val="0"/>
        <w:adjustRightInd w:val="0"/>
        <w:spacing w:line="360" w:lineRule="auto"/>
        <w:ind w:firstLine="480" w:firstLineChars="200"/>
      </w:pPr>
      <w:r>
        <w:rPr>
          <w:rFonts w:hint="eastAsia" w:ascii="仿宋_GB2312" w:hAnsi="Times New Roman" w:eastAsia="仿宋_GB2312" w:cs="宋体"/>
          <w:sz w:val="24"/>
          <w:szCs w:val="24"/>
        </w:rPr>
        <w:t>（7）《电力建设工程绿色建造评价》T</w:t>
      </w:r>
      <w:r>
        <w:rPr>
          <w:rFonts w:ascii="仿宋_GB2312" w:hAnsi="Times New Roman" w:eastAsia="仿宋_GB2312" w:cs="宋体"/>
          <w:sz w:val="24"/>
          <w:szCs w:val="24"/>
        </w:rPr>
        <w:t>/CEPCEA-2024</w:t>
      </w:r>
    </w:p>
    <w:p w14:paraId="77B116FE">
      <w:pPr>
        <w:autoSpaceDE w:val="0"/>
        <w:autoSpaceDN w:val="0"/>
        <w:adjustRightInd w:val="0"/>
        <w:spacing w:line="360" w:lineRule="auto"/>
        <w:ind w:firstLine="420"/>
        <w:outlineLvl w:val="1"/>
        <w:rPr>
          <w:rFonts w:ascii="方正楷体_GBK" w:hAnsi="楷体_GB2312" w:eastAsia="方正楷体_GBK" w:cs="宋体"/>
          <w:b/>
          <w:bCs/>
          <w:sz w:val="24"/>
          <w:szCs w:val="24"/>
        </w:rPr>
      </w:pPr>
      <w:r>
        <w:rPr>
          <w:rFonts w:hint="eastAsia" w:ascii="方正楷体_GBK" w:hAnsi="楷体_GB2312" w:eastAsia="方正楷体_GBK" w:cs="宋体"/>
          <w:b/>
          <w:bCs/>
          <w:sz w:val="24"/>
          <w:szCs w:val="24"/>
        </w:rPr>
        <w:t>2.3 主要内容</w:t>
      </w:r>
      <w:bookmarkEnd w:id="9"/>
    </w:p>
    <w:p w14:paraId="23A894F9">
      <w:pPr>
        <w:autoSpaceDE w:val="0"/>
        <w:autoSpaceDN w:val="0"/>
        <w:adjustRightInd w:val="0"/>
        <w:spacing w:line="360" w:lineRule="auto"/>
        <w:ind w:firstLine="480" w:firstLineChars="200"/>
        <w:rPr>
          <w:rFonts w:ascii="仿宋_GB2312" w:hAnsi="Times New Roman" w:eastAsia="仿宋_GB2312" w:cs="宋体"/>
          <w:sz w:val="24"/>
          <w:szCs w:val="24"/>
        </w:rPr>
      </w:pPr>
      <w:bookmarkStart w:id="10" w:name="_Toc179902676"/>
      <w:r>
        <w:rPr>
          <w:rFonts w:hint="eastAsia" w:ascii="仿宋_GB2312" w:hAnsi="Times New Roman" w:eastAsia="仿宋_GB2312" w:cs="宋体"/>
          <w:sz w:val="24"/>
          <w:szCs w:val="24"/>
        </w:rPr>
        <w:t>本标准《电力建设绿色建造监理导则 第1部分：火力发电工程》共</w:t>
      </w:r>
      <w:r>
        <w:rPr>
          <w:rFonts w:ascii="仿宋_GB2312" w:hAnsi="Times New Roman" w:eastAsia="仿宋_GB2312" w:cs="宋体"/>
          <w:sz w:val="24"/>
          <w:szCs w:val="24"/>
        </w:rPr>
        <w:t>10</w:t>
      </w:r>
      <w:r>
        <w:rPr>
          <w:rFonts w:hint="eastAsia" w:ascii="仿宋_GB2312" w:hAnsi="Times New Roman" w:eastAsia="仿宋_GB2312" w:cs="宋体"/>
          <w:sz w:val="24"/>
          <w:szCs w:val="24"/>
        </w:rPr>
        <w:t>章和</w:t>
      </w:r>
      <w:r>
        <w:rPr>
          <w:rFonts w:ascii="仿宋_GB2312" w:hAnsi="Times New Roman" w:eastAsia="仿宋_GB2312" w:cs="宋体"/>
          <w:sz w:val="24"/>
          <w:szCs w:val="24"/>
        </w:rPr>
        <w:t>2</w:t>
      </w:r>
      <w:r>
        <w:rPr>
          <w:rFonts w:hint="eastAsia" w:ascii="仿宋_GB2312" w:hAnsi="Times New Roman" w:eastAsia="仿宋_GB2312" w:cs="宋体"/>
          <w:sz w:val="24"/>
          <w:szCs w:val="24"/>
        </w:rPr>
        <w:t>个附录，主</w:t>
      </w:r>
      <w:r>
        <w:rPr>
          <w:rFonts w:ascii="仿宋_GB2312" w:hAnsi="Times New Roman" w:eastAsia="仿宋_GB2312" w:cs="宋体"/>
          <w:sz w:val="24"/>
          <w:szCs w:val="24"/>
        </w:rPr>
        <w:t>要内容包括：</w:t>
      </w:r>
      <w:r>
        <w:rPr>
          <w:rFonts w:hint="eastAsia" w:ascii="仿宋_GB2312" w:hAnsi="Times New Roman" w:eastAsia="仿宋_GB2312" w:cs="宋体"/>
          <w:sz w:val="24"/>
          <w:szCs w:val="24"/>
        </w:rPr>
        <w:t>范围；规范性引用文件；术语和定义；总体要求；绿色建造监理职责；绿色策划监理措施；绿色设计监理措施；绿色施工监理措施；绿色移交监理措施；绿色建造文件管理等。</w:t>
      </w:r>
    </w:p>
    <w:p w14:paraId="47293BBE">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r>
        <w:rPr>
          <w:rFonts w:hint="eastAsia" w:ascii="黑体" w:hAnsi="黑体" w:eastAsia="黑体"/>
          <w:b/>
          <w:sz w:val="28"/>
          <w:szCs w:val="28"/>
        </w:rPr>
        <w:t>预期达到的效果</w:t>
      </w:r>
      <w:bookmarkEnd w:id="10"/>
    </w:p>
    <w:p w14:paraId="3750E947">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本标准发布实施后，将满足“双碳”目标、新型电力系统建设等行业发展转型趋势下，我国火力发电工程绿色建造监理技术发展需求，推动电力行业绿色发展和转型升级，推广绿色建造方式的要求。</w:t>
      </w:r>
    </w:p>
    <w:p w14:paraId="6879EC5D">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本标准将明确火力发电工程绿色建造监理工作的工作内容和管理要求，适用于新建、扩建、改建的火力发电工程绿色建造监理服务。为电力建设工程监理单位开展火力发电工程绿色建造监理工作提供工作指南。</w:t>
      </w:r>
    </w:p>
    <w:p w14:paraId="690E3999">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1" w:name="_Toc179902677"/>
      <w:r>
        <w:rPr>
          <w:rFonts w:hint="eastAsia" w:ascii="黑体" w:hAnsi="黑体" w:eastAsia="黑体"/>
          <w:b/>
          <w:sz w:val="28"/>
          <w:szCs w:val="28"/>
        </w:rPr>
        <w:t>与同类标准对比情况</w:t>
      </w:r>
      <w:bookmarkEnd w:id="11"/>
    </w:p>
    <w:p w14:paraId="24DE36A5">
      <w:pPr>
        <w:autoSpaceDE w:val="0"/>
        <w:autoSpaceDN w:val="0"/>
        <w:adjustRightInd w:val="0"/>
        <w:spacing w:line="360" w:lineRule="auto"/>
        <w:ind w:firstLine="480" w:firstLineChars="200"/>
        <w:rPr>
          <w:rFonts w:ascii="仿宋_GB2312" w:hAnsi="Times New Roman" w:eastAsia="仿宋_GB2312" w:cs="宋体"/>
          <w:sz w:val="24"/>
          <w:szCs w:val="24"/>
        </w:rPr>
      </w:pPr>
      <w:bookmarkStart w:id="12" w:name="_Toc179902678"/>
      <w:r>
        <w:rPr>
          <w:rFonts w:hint="eastAsia" w:ascii="仿宋_GB2312" w:hAnsi="Times New Roman" w:eastAsia="仿宋_GB2312" w:cs="宋体"/>
          <w:sz w:val="24"/>
          <w:szCs w:val="24"/>
        </w:rPr>
        <w:t>关于火力发电工程绿色建造监理标准，目前国内无相关监理标准。关于绿色建造目前国内相关标准主要有</w:t>
      </w:r>
      <w:r>
        <w:rPr>
          <w:rFonts w:ascii="仿宋_GB2312" w:hAnsi="Times New Roman" w:eastAsia="仿宋_GB2312" w:cs="宋体"/>
          <w:sz w:val="24"/>
          <w:szCs w:val="24"/>
        </w:rPr>
        <w:t>T/</w:t>
      </w:r>
      <w:r>
        <w:rPr>
          <w:rFonts w:hint="eastAsia" w:ascii="仿宋_GB2312" w:hAnsi="Times New Roman" w:eastAsia="仿宋_GB2312" w:cs="宋体"/>
          <w:sz w:val="24"/>
          <w:szCs w:val="24"/>
        </w:rPr>
        <w:t>C</w:t>
      </w:r>
      <w:r>
        <w:rPr>
          <w:rFonts w:ascii="仿宋_GB2312" w:hAnsi="Times New Roman" w:eastAsia="仿宋_GB2312" w:cs="宋体"/>
          <w:sz w:val="24"/>
          <w:szCs w:val="24"/>
        </w:rPr>
        <w:t>EPCA 1010-2024</w:t>
      </w:r>
      <w:r>
        <w:rPr>
          <w:rFonts w:hint="eastAsia" w:ascii="仿宋_GB2312" w:hAnsi="Times New Roman" w:eastAsia="仿宋_GB2312" w:cs="宋体"/>
          <w:sz w:val="24"/>
          <w:szCs w:val="24"/>
        </w:rPr>
        <w:t>《电力建设工程绿色建造评价》、</w:t>
      </w:r>
      <w:r>
        <w:rPr>
          <w:rFonts w:ascii="仿宋_GB2312" w:hAnsi="Times New Roman" w:eastAsia="仿宋_GB2312" w:cs="宋体"/>
          <w:sz w:val="24"/>
          <w:szCs w:val="24"/>
        </w:rPr>
        <w:t>建办质〔2021〕9号</w:t>
      </w:r>
      <w:r>
        <w:rPr>
          <w:rFonts w:hint="eastAsia" w:ascii="仿宋_GB2312" w:hAnsi="Times New Roman" w:eastAsia="仿宋_GB2312" w:cs="宋体"/>
          <w:sz w:val="24"/>
          <w:szCs w:val="24"/>
        </w:rPr>
        <w:t>《绿色建造技术导则</w:t>
      </w:r>
      <w:r>
        <w:rPr>
          <w:rFonts w:ascii="仿宋_GB2312" w:hAnsi="Times New Roman" w:eastAsia="仿宋_GB2312" w:cs="宋体"/>
          <w:sz w:val="24"/>
          <w:szCs w:val="24"/>
        </w:rPr>
        <w:t>（试行）</w:t>
      </w:r>
      <w:r>
        <w:rPr>
          <w:rFonts w:hint="eastAsia" w:ascii="仿宋_GB2312" w:hAnsi="Times New Roman" w:eastAsia="仿宋_GB2312" w:cs="宋体"/>
          <w:sz w:val="24"/>
          <w:szCs w:val="24"/>
        </w:rPr>
        <w:t>》、GBT 50905-2014《建筑工程绿色施工规范》、</w:t>
      </w:r>
      <w:r>
        <w:rPr>
          <w:rFonts w:ascii="仿宋_GB2312" w:hAnsi="Times New Roman" w:eastAsia="仿宋_GB2312" w:cs="宋体"/>
          <w:sz w:val="24"/>
          <w:szCs w:val="24"/>
        </w:rPr>
        <w:t>GB/T 50640-2023</w:t>
      </w:r>
      <w:r>
        <w:rPr>
          <w:rFonts w:hint="eastAsia" w:ascii="仿宋_GB2312" w:hAnsi="Times New Roman" w:eastAsia="仿宋_GB2312" w:cs="宋体"/>
          <w:sz w:val="24"/>
          <w:szCs w:val="24"/>
        </w:rPr>
        <w:t>《</w:t>
      </w:r>
      <w:r>
        <w:rPr>
          <w:rFonts w:ascii="仿宋_GB2312" w:hAnsi="Times New Roman" w:eastAsia="仿宋_GB2312" w:cs="宋体"/>
          <w:sz w:val="24"/>
          <w:szCs w:val="24"/>
        </w:rPr>
        <w:t>建筑与市政工程绿色施工评价标准</w:t>
      </w:r>
      <w:r>
        <w:rPr>
          <w:rFonts w:hint="eastAsia" w:ascii="仿宋_GB2312" w:hAnsi="Times New Roman" w:eastAsia="仿宋_GB2312" w:cs="宋体"/>
          <w:sz w:val="24"/>
          <w:szCs w:val="24"/>
        </w:rPr>
        <w:t>》等标准。</w:t>
      </w:r>
    </w:p>
    <w:p w14:paraId="7BE327E3">
      <w:pPr>
        <w:autoSpaceDE w:val="0"/>
        <w:autoSpaceDN w:val="0"/>
        <w:adjustRightInd w:val="0"/>
        <w:spacing w:line="360" w:lineRule="auto"/>
        <w:ind w:firstLine="480" w:firstLineChars="200"/>
        <w:rPr>
          <w:rFonts w:ascii="仿宋_GB2312" w:hAnsi="Times New Roman" w:eastAsia="仿宋_GB2312" w:cs="宋体"/>
          <w:sz w:val="24"/>
          <w:szCs w:val="24"/>
        </w:rPr>
      </w:pPr>
      <w:r>
        <w:rPr>
          <w:rFonts w:ascii="仿宋_GB2312" w:hAnsi="Times New Roman" w:eastAsia="仿宋_GB2312" w:cs="宋体"/>
          <w:sz w:val="24"/>
          <w:szCs w:val="24"/>
        </w:rPr>
        <w:t>T/</w:t>
      </w:r>
      <w:r>
        <w:rPr>
          <w:rFonts w:hint="eastAsia" w:ascii="仿宋_GB2312" w:hAnsi="Times New Roman" w:eastAsia="仿宋_GB2312" w:cs="宋体"/>
          <w:sz w:val="24"/>
          <w:szCs w:val="24"/>
        </w:rPr>
        <w:t>C</w:t>
      </w:r>
      <w:r>
        <w:rPr>
          <w:rFonts w:ascii="仿宋_GB2312" w:hAnsi="Times New Roman" w:eastAsia="仿宋_GB2312" w:cs="宋体"/>
          <w:sz w:val="24"/>
          <w:szCs w:val="24"/>
        </w:rPr>
        <w:t>EPCA 1010-2024</w:t>
      </w:r>
      <w:r>
        <w:rPr>
          <w:rFonts w:hint="eastAsia" w:ascii="仿宋_GB2312" w:hAnsi="Times New Roman" w:eastAsia="仿宋_GB2312" w:cs="宋体"/>
          <w:sz w:val="24"/>
          <w:szCs w:val="24"/>
        </w:rPr>
        <w:t>《电力建设工程绿色建造评价》为中国电力建设企业协会团体标准，涵盖了绿色建造各阶段评价要求，明确了建设单位、设计单位、施工单位的工作内容和要求，未明监理单位的工作内容和要求。</w:t>
      </w:r>
      <w:r>
        <w:rPr>
          <w:rFonts w:ascii="仿宋_GB2312" w:hAnsi="Times New Roman" w:eastAsia="仿宋_GB2312" w:cs="宋体"/>
          <w:sz w:val="24"/>
          <w:szCs w:val="24"/>
        </w:rPr>
        <w:t>建办质〔2021〕9号</w:t>
      </w:r>
      <w:r>
        <w:rPr>
          <w:rFonts w:hint="eastAsia" w:ascii="仿宋_GB2312" w:hAnsi="Times New Roman" w:eastAsia="仿宋_GB2312" w:cs="宋体"/>
          <w:sz w:val="24"/>
          <w:szCs w:val="24"/>
        </w:rPr>
        <w:t>《绿色建造技术导则</w:t>
      </w:r>
      <w:r>
        <w:rPr>
          <w:rFonts w:ascii="仿宋_GB2312" w:hAnsi="Times New Roman" w:eastAsia="仿宋_GB2312" w:cs="宋体"/>
          <w:sz w:val="24"/>
          <w:szCs w:val="24"/>
        </w:rPr>
        <w:t>（试行）</w:t>
      </w:r>
      <w:r>
        <w:rPr>
          <w:rFonts w:hint="eastAsia" w:ascii="仿宋_GB2312" w:hAnsi="Times New Roman" w:eastAsia="仿宋_GB2312" w:cs="宋体"/>
          <w:sz w:val="24"/>
          <w:szCs w:val="24"/>
        </w:rPr>
        <w:t>》涵盖了绿色建造各阶段建设单位、设计单位、施工单位工作内容和要求，未明确监理单位的内容和要求。GBT 50905-2014《建筑工程绿色施工规范》、</w:t>
      </w:r>
      <w:r>
        <w:rPr>
          <w:rFonts w:ascii="仿宋_GB2312" w:hAnsi="Times New Roman" w:eastAsia="仿宋_GB2312" w:cs="宋体"/>
          <w:sz w:val="24"/>
          <w:szCs w:val="24"/>
        </w:rPr>
        <w:t>GB/T 50640-2023</w:t>
      </w:r>
      <w:r>
        <w:rPr>
          <w:rFonts w:hint="eastAsia" w:ascii="仿宋_GB2312" w:hAnsi="Times New Roman" w:eastAsia="仿宋_GB2312" w:cs="宋体"/>
          <w:sz w:val="24"/>
          <w:szCs w:val="24"/>
        </w:rPr>
        <w:t>《</w:t>
      </w:r>
      <w:r>
        <w:rPr>
          <w:rFonts w:ascii="仿宋_GB2312" w:hAnsi="Times New Roman" w:eastAsia="仿宋_GB2312" w:cs="宋体"/>
          <w:sz w:val="24"/>
          <w:szCs w:val="24"/>
        </w:rPr>
        <w:t>建筑与市政工程绿色施工评价标准</w:t>
      </w:r>
      <w:r>
        <w:rPr>
          <w:rFonts w:hint="eastAsia" w:ascii="仿宋_GB2312" w:hAnsi="Times New Roman" w:eastAsia="仿宋_GB2312" w:cs="宋体"/>
          <w:sz w:val="24"/>
          <w:szCs w:val="24"/>
        </w:rPr>
        <w:t>》明确了建筑工程施工单位绿色施工和评价工作的内容和要求，未明确监理单位的内容和要求。</w:t>
      </w:r>
    </w:p>
    <w:p w14:paraId="7E3E42DD">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r>
        <w:rPr>
          <w:rFonts w:hint="eastAsia" w:ascii="黑体" w:hAnsi="黑体" w:eastAsia="黑体"/>
          <w:b/>
          <w:sz w:val="28"/>
          <w:szCs w:val="28"/>
        </w:rPr>
        <w:t>与现行法律、法规、政策及相关标准的协调性</w:t>
      </w:r>
      <w:bookmarkEnd w:id="12"/>
    </w:p>
    <w:p w14:paraId="286DB9CD">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编制过程中结合“双碳”目标、绿色建造、智能建造等最新形势和国内火力发电工程绿色建造监理管理发展需求等内容，充分考虑了与国家现行有效法律法规之间的协调，所有技术条款均严格遵守国家法律法规和政策的要求。</w:t>
      </w:r>
    </w:p>
    <w:p w14:paraId="5D0984C0">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执行过程中，除执行本标准的要求外，必须遵守国家现行法律、法规、政策及有关标准的规定。</w:t>
      </w:r>
    </w:p>
    <w:p w14:paraId="1B5BDAA3">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3" w:name="_Toc179902679"/>
      <w:r>
        <w:rPr>
          <w:rFonts w:hint="eastAsia" w:ascii="黑体" w:hAnsi="黑体" w:eastAsia="黑体"/>
          <w:b/>
          <w:sz w:val="28"/>
          <w:szCs w:val="28"/>
        </w:rPr>
        <w:t>重大分歧意见处理情况</w:t>
      </w:r>
      <w:bookmarkEnd w:id="13"/>
    </w:p>
    <w:p w14:paraId="46A5FE41">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本标准编制过程中，未出现重大分歧意见。</w:t>
      </w:r>
    </w:p>
    <w:p w14:paraId="6AAA9DAA">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4" w:name="_Toc179902680"/>
      <w:r>
        <w:rPr>
          <w:rFonts w:hint="eastAsia" w:ascii="黑体" w:hAnsi="黑体" w:eastAsia="黑体"/>
          <w:b/>
          <w:sz w:val="28"/>
          <w:szCs w:val="28"/>
        </w:rPr>
        <w:t>标准涉及专利处置情况</w:t>
      </w:r>
      <w:bookmarkEnd w:id="14"/>
    </w:p>
    <w:p w14:paraId="4133B52B">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本标准不涉及专利处置情况。</w:t>
      </w:r>
    </w:p>
    <w:p w14:paraId="527D41D7">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5" w:name="_Toc179902681"/>
      <w:r>
        <w:rPr>
          <w:rFonts w:hint="eastAsia" w:ascii="黑体" w:hAnsi="黑体" w:eastAsia="黑体"/>
          <w:b/>
          <w:sz w:val="28"/>
          <w:szCs w:val="28"/>
        </w:rPr>
        <w:t>贯彻规范的要求和措施建议</w:t>
      </w:r>
      <w:bookmarkEnd w:id="15"/>
    </w:p>
    <w:p w14:paraId="2A838E5C">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本标准适用于新建、扩建、改建的火力发电工程绿色建造监理服务。</w:t>
      </w:r>
    </w:p>
    <w:p w14:paraId="5B0BA7CA">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的制定和应用能够为监理单位开展火力发电工程绿色建造监理服务提供工作指南，进一步明确火力发电工程绿色建造监理工作内容和管理要求，建议能够尽快批准发布本标准，并通过组织集中宣讲会等形式进一步贯彻标准要求。</w:t>
      </w:r>
    </w:p>
    <w:p w14:paraId="55567127">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本标准不设立强制性条文。</w:t>
      </w:r>
    </w:p>
    <w:p w14:paraId="6C486F91">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6" w:name="_Toc179902682"/>
      <w:r>
        <w:rPr>
          <w:rFonts w:hint="eastAsia" w:ascii="黑体" w:hAnsi="黑体" w:eastAsia="黑体"/>
          <w:b/>
          <w:sz w:val="28"/>
          <w:szCs w:val="28"/>
        </w:rPr>
        <w:t>代替或废止现行有关标准的建议</w:t>
      </w:r>
      <w:bookmarkEnd w:id="16"/>
    </w:p>
    <w:p w14:paraId="0652A46A">
      <w:pPr>
        <w:autoSpaceDE w:val="0"/>
        <w:autoSpaceDN w:val="0"/>
        <w:adjustRightInd w:val="0"/>
        <w:spacing w:line="360" w:lineRule="auto"/>
        <w:ind w:firstLine="480" w:firstLineChars="200"/>
        <w:rPr>
          <w:rFonts w:ascii="仿宋_GB2312" w:hAnsi="Times New Roman" w:eastAsia="仿宋_GB2312" w:cs="宋体"/>
          <w:sz w:val="24"/>
          <w:szCs w:val="24"/>
        </w:rPr>
      </w:pPr>
      <w:r>
        <w:rPr>
          <w:rFonts w:hint="eastAsia" w:ascii="仿宋_GB2312" w:hAnsi="Times New Roman" w:eastAsia="仿宋_GB2312" w:cs="宋体"/>
          <w:sz w:val="24"/>
          <w:szCs w:val="24"/>
        </w:rPr>
        <w:t>本标准不涉及代替或废止现行有关标准的情况。</w:t>
      </w:r>
    </w:p>
    <w:p w14:paraId="4A043DEF">
      <w:pPr>
        <w:pStyle w:val="14"/>
        <w:numPr>
          <w:ilvl w:val="0"/>
          <w:numId w:val="1"/>
        </w:numPr>
        <w:tabs>
          <w:tab w:val="left" w:pos="840"/>
        </w:tabs>
        <w:adjustRightInd w:val="0"/>
        <w:spacing w:line="360" w:lineRule="auto"/>
        <w:ind w:firstLineChars="0"/>
        <w:outlineLvl w:val="0"/>
        <w:rPr>
          <w:rFonts w:ascii="黑体" w:hAnsi="黑体" w:eastAsia="黑体"/>
          <w:b/>
          <w:sz w:val="28"/>
          <w:szCs w:val="28"/>
        </w:rPr>
      </w:pPr>
      <w:bookmarkStart w:id="17" w:name="_Toc179902683"/>
      <w:r>
        <w:rPr>
          <w:rFonts w:hint="eastAsia" w:ascii="黑体" w:hAnsi="黑体" w:eastAsia="黑体"/>
          <w:b/>
          <w:sz w:val="28"/>
          <w:szCs w:val="28"/>
        </w:rPr>
        <w:t>其他应予说明的事项</w:t>
      </w:r>
      <w:bookmarkEnd w:id="17"/>
    </w:p>
    <w:p w14:paraId="4C35584A">
      <w:pPr>
        <w:autoSpaceDE w:val="0"/>
        <w:autoSpaceDN w:val="0"/>
        <w:adjustRightInd w:val="0"/>
        <w:spacing w:line="360" w:lineRule="auto"/>
        <w:ind w:firstLine="480" w:firstLineChars="200"/>
        <w:rPr>
          <w:rFonts w:ascii="黑体" w:hAnsi="黑体" w:eastAsia="黑体"/>
          <w:b/>
          <w:sz w:val="28"/>
          <w:szCs w:val="28"/>
        </w:rPr>
      </w:pPr>
      <w:r>
        <w:rPr>
          <w:rFonts w:hint="eastAsia" w:ascii="仿宋_GB2312" w:hAnsi="Times New Roman" w:eastAsia="仿宋_GB2312" w:cs="宋体"/>
          <w:sz w:val="24"/>
          <w:szCs w:val="24"/>
        </w:rPr>
        <w:t>本标准是2025年第一批立项的中国电力建设企业协会标准。</w:t>
      </w:r>
    </w:p>
    <w:p w14:paraId="2D97CB60"/>
    <w:sectPr>
      <w:footerReference r:id="rId4" w:type="default"/>
      <w:pgSz w:w="11906" w:h="16838"/>
      <w:pgMar w:top="1440" w:right="1797" w:bottom="1191"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KSOF8235D1FC">
    <w:panose1 w:val="020B07030202040202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 w:name="KSOFF3CEDE7F">
    <w:panose1 w:val="020B07030202040202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319EA">
    <w:pPr>
      <w:pStyle w:val="5"/>
      <w:jc w:val="center"/>
    </w:pPr>
  </w:p>
  <w:p w14:paraId="068A48C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23212"/>
    </w:sdtPr>
    <w:sdtContent>
      <w:p w14:paraId="22F42D8B">
        <w:pPr>
          <w:pStyle w:val="5"/>
          <w:jc w:val="center"/>
        </w:pPr>
        <w:r>
          <w:fldChar w:fldCharType="begin"/>
        </w:r>
        <w:r>
          <w:instrText xml:space="preserve">PAGE   \* MERGEFORMAT</w:instrText>
        </w:r>
        <w:r>
          <w:fldChar w:fldCharType="separate"/>
        </w:r>
        <w:r>
          <w:rPr>
            <w:lang w:val="zh-CN"/>
          </w:rPr>
          <w:t>5</w:t>
        </w:r>
        <w:r>
          <w:fldChar w:fldCharType="end"/>
        </w:r>
      </w:p>
    </w:sdtContent>
  </w:sdt>
  <w:p w14:paraId="67D205F2">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79C5"/>
    <w:multiLevelType w:val="multilevel"/>
    <w:tmpl w:val="5A4D79C5"/>
    <w:lvl w:ilvl="0" w:tentative="0">
      <w:start w:val="1"/>
      <w:numFmt w:val="decimal"/>
      <w:lvlText w:val="%1"/>
      <w:lvlJc w:val="left"/>
      <w:pPr>
        <w:ind w:left="424" w:hanging="424"/>
      </w:pPr>
      <w:rPr>
        <w:rFonts w:hint="default"/>
      </w:rPr>
    </w:lvl>
    <w:lvl w:ilvl="1" w:tentative="0">
      <w:start w:val="1"/>
      <w:numFmt w:val="decimal"/>
      <w:lvlText w:val="%1.%2"/>
      <w:lvlJc w:val="left"/>
      <w:pPr>
        <w:ind w:left="1202" w:hanging="720"/>
      </w:pPr>
      <w:rPr>
        <w:rFonts w:hint="default"/>
      </w:rPr>
    </w:lvl>
    <w:lvl w:ilvl="2" w:tentative="0">
      <w:start w:val="1"/>
      <w:numFmt w:val="decimal"/>
      <w:lvlText w:val="%1.%2.%3"/>
      <w:lvlJc w:val="left"/>
      <w:pPr>
        <w:ind w:left="2044" w:hanging="1080"/>
      </w:pPr>
      <w:rPr>
        <w:rFonts w:hint="default"/>
      </w:rPr>
    </w:lvl>
    <w:lvl w:ilvl="3" w:tentative="0">
      <w:start w:val="1"/>
      <w:numFmt w:val="decimal"/>
      <w:lvlText w:val="%1.%2.%3.%4"/>
      <w:lvlJc w:val="left"/>
      <w:pPr>
        <w:ind w:left="2526" w:hanging="1080"/>
      </w:pPr>
      <w:rPr>
        <w:rFonts w:hint="default"/>
      </w:rPr>
    </w:lvl>
    <w:lvl w:ilvl="4" w:tentative="0">
      <w:start w:val="1"/>
      <w:numFmt w:val="decimal"/>
      <w:lvlText w:val="%1.%2.%3.%4.%5"/>
      <w:lvlJc w:val="left"/>
      <w:pPr>
        <w:ind w:left="3368" w:hanging="1440"/>
      </w:pPr>
      <w:rPr>
        <w:rFonts w:hint="default"/>
      </w:rPr>
    </w:lvl>
    <w:lvl w:ilvl="5" w:tentative="0">
      <w:start w:val="1"/>
      <w:numFmt w:val="decimal"/>
      <w:lvlText w:val="%1.%2.%3.%4.%5.%6"/>
      <w:lvlJc w:val="left"/>
      <w:pPr>
        <w:ind w:left="4210" w:hanging="1800"/>
      </w:pPr>
      <w:rPr>
        <w:rFonts w:hint="default"/>
      </w:rPr>
    </w:lvl>
    <w:lvl w:ilvl="6" w:tentative="0">
      <w:start w:val="1"/>
      <w:numFmt w:val="decimal"/>
      <w:lvlText w:val="%1.%2.%3.%4.%5.%6.%7"/>
      <w:lvlJc w:val="left"/>
      <w:pPr>
        <w:ind w:left="5052" w:hanging="2160"/>
      </w:pPr>
      <w:rPr>
        <w:rFonts w:hint="default"/>
      </w:rPr>
    </w:lvl>
    <w:lvl w:ilvl="7" w:tentative="0">
      <w:start w:val="1"/>
      <w:numFmt w:val="decimal"/>
      <w:lvlText w:val="%1.%2.%3.%4.%5.%6.%7.%8"/>
      <w:lvlJc w:val="left"/>
      <w:pPr>
        <w:ind w:left="5534" w:hanging="2160"/>
      </w:pPr>
      <w:rPr>
        <w:rFonts w:hint="default"/>
      </w:rPr>
    </w:lvl>
    <w:lvl w:ilvl="8" w:tentative="0">
      <w:start w:val="1"/>
      <w:numFmt w:val="decimal"/>
      <w:lvlText w:val="%1.%2.%3.%4.%5.%6.%7.%8.%9"/>
      <w:lvlJc w:val="left"/>
      <w:pPr>
        <w:ind w:left="6376"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361CD"/>
    <w:rsid w:val="001F7AB6"/>
    <w:rsid w:val="002B5835"/>
    <w:rsid w:val="00307533"/>
    <w:rsid w:val="003E341A"/>
    <w:rsid w:val="00500B85"/>
    <w:rsid w:val="0051380F"/>
    <w:rsid w:val="005D34D7"/>
    <w:rsid w:val="006D362E"/>
    <w:rsid w:val="00767AD2"/>
    <w:rsid w:val="0084658F"/>
    <w:rsid w:val="00852FBD"/>
    <w:rsid w:val="00891C09"/>
    <w:rsid w:val="00975443"/>
    <w:rsid w:val="00A41F3C"/>
    <w:rsid w:val="00AD6283"/>
    <w:rsid w:val="00AF67C6"/>
    <w:rsid w:val="00BF7CC2"/>
    <w:rsid w:val="00C451EA"/>
    <w:rsid w:val="00C456D7"/>
    <w:rsid w:val="00CC1D32"/>
    <w:rsid w:val="00CD7845"/>
    <w:rsid w:val="00CF0704"/>
    <w:rsid w:val="00EE198C"/>
    <w:rsid w:val="00F87DC6"/>
    <w:rsid w:val="29032208"/>
    <w:rsid w:val="470361CD"/>
    <w:rsid w:val="79FB0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pPr>
      <w:tabs>
        <w:tab w:val="left" w:pos="-945"/>
      </w:tabs>
    </w:pPr>
    <w:rPr>
      <w:rFonts w:ascii="宋体" w:hAnsi="Courier New"/>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9402"/>
      </w:tabs>
      <w:spacing w:line="240" w:lineRule="atLeast"/>
      <w:jc w:val="center"/>
    </w:pPr>
    <w:rPr>
      <w:rFonts w:ascii="Times New Roman" w:hAnsi="Times New Roman"/>
      <w:szCs w:val="24"/>
    </w:rPr>
  </w:style>
  <w:style w:type="paragraph" w:styleId="8">
    <w:name w:val="toc 2"/>
    <w:basedOn w:val="1"/>
    <w:next w:val="1"/>
    <w:qFormat/>
    <w:uiPriority w:val="39"/>
    <w:pPr>
      <w:spacing w:line="240" w:lineRule="atLeast"/>
      <w:ind w:left="420" w:leftChars="200"/>
    </w:pPr>
    <w:rPr>
      <w:rFonts w:ascii="Times New Roman" w:hAnsi="Times New Roman"/>
      <w:szCs w:val="24"/>
    </w:rPr>
  </w:style>
  <w:style w:type="paragraph" w:styleId="9">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12">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13">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styleId="14">
    <w:name w:val="List Paragraph"/>
    <w:basedOn w:val="1"/>
    <w:qFormat/>
    <w:uiPriority w:val="99"/>
    <w:pPr>
      <w:ind w:firstLine="420" w:firstLineChars="200"/>
    </w:pPr>
  </w:style>
  <w:style w:type="character" w:customStyle="1" w:styleId="15">
    <w:name w:val="页眉 字符"/>
    <w:basedOn w:val="11"/>
    <w:link w:val="6"/>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46264-4DFA-45FB-BD41-CDB7307B2784}">
  <ds:schemaRefs/>
</ds:datastoreItem>
</file>

<file path=docProps/app.xml><?xml version="1.0" encoding="utf-8"?>
<Properties xmlns="http://schemas.openxmlformats.org/officeDocument/2006/extended-properties" xmlns:vt="http://schemas.openxmlformats.org/officeDocument/2006/docPropsVTypes">
  <Template>Normal</Template>
  <Pages>7</Pages>
  <Words>3471</Words>
  <Characters>3811</Characters>
  <Lines>36</Lines>
  <Paragraphs>10</Paragraphs>
  <TotalTime>429</TotalTime>
  <ScaleCrop>false</ScaleCrop>
  <LinksUpToDate>false</LinksUpToDate>
  <CharactersWithSpaces>3946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2025-10-30T06:02:00Z</dcterms:created>
  <dc:creator>涛哥</dc:creator>
  <cp:lastModifiedBy>汪广涛</cp:lastModifiedBy>
  <dcterms:modified xsi:type="dcterms:W3CDTF">2026-04-09T02:53:19Z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3F4F13CC9076493C909A516416A3D474_11</vt:lpwstr>
  </property>
  <property fmtid="{D5CDD505-2E9C-101B-9397-08002B2CF9AE}" pid="4" name="KSOTemplateDocerSaveRecord">
    <vt:lpwstr>eyJoZGlkIjoiMjdkNjAwMjc0ZGRhMTE2ODAzODAwNTI2NDI1NzczZmUiLCJ1c2VySWQiOiIxMjEwMTI1MDE1In0=</vt:lpwstr>
  </property>
</Properties>
</file>